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375AB">
        <w:rPr>
          <w:rFonts w:ascii="Arial" w:eastAsia="宋体" w:hAnsi="Arial" w:cs="Arial"/>
          <w:b/>
          <w:sz w:val="24"/>
          <w:lang w:val="en-GB" w:eastAsia="ko-KR"/>
        </w:rPr>
        <w:t>10</w:t>
      </w:r>
      <w:r w:rsidR="0083017B">
        <w:rPr>
          <w:rFonts w:ascii="Arial" w:eastAsia="宋体" w:hAnsi="Arial" w:cs="Arial"/>
          <w:b/>
          <w:sz w:val="24"/>
          <w:lang w:val="en-GB" w:eastAsia="ko-KR"/>
        </w:rPr>
        <w:t>1</w:t>
      </w:r>
      <w:r w:rsidR="001E3EC1">
        <w:rPr>
          <w:rFonts w:ascii="Arial" w:eastAsia="宋体" w:hAnsi="Arial" w:cs="Arial"/>
          <w:b/>
          <w:sz w:val="24"/>
          <w:lang w:val="en-GB" w:eastAsia="ko-KR"/>
        </w:rPr>
        <w:t>-bis</w:t>
      </w:r>
      <w:r w:rsidR="000128AB">
        <w:rPr>
          <w:rFonts w:ascii="Arial" w:eastAsia="宋体" w:hAnsi="Arial" w:cs="Arial"/>
          <w:b/>
          <w:sz w:val="24"/>
          <w:lang w:val="en-GB" w:eastAsia="ko-KR"/>
        </w:rPr>
        <w:t>-</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00112B44" w:rsidRPr="00112B44">
        <w:rPr>
          <w:rFonts w:ascii="Arial" w:eastAsia="宋体" w:hAnsi="Arial" w:cs="Arial"/>
          <w:b/>
          <w:sz w:val="24"/>
          <w:lang w:val="en-GB" w:eastAsia="ko-KR"/>
        </w:rPr>
        <w:t>R4-2</w:t>
      </w:r>
      <w:r w:rsidR="001E3EC1">
        <w:rPr>
          <w:rFonts w:ascii="Arial" w:eastAsia="宋体" w:hAnsi="Arial" w:cs="Arial"/>
          <w:b/>
          <w:sz w:val="24"/>
          <w:lang w:val="en-GB" w:eastAsia="ko-KR"/>
        </w:rPr>
        <w:t>20</w:t>
      </w:r>
      <w:r w:rsidR="003525D1">
        <w:rPr>
          <w:rFonts w:ascii="Arial" w:eastAsia="宋体" w:hAnsi="Arial" w:cs="Arial"/>
          <w:b/>
          <w:sz w:val="24"/>
          <w:lang w:val="en-GB"/>
        </w:rPr>
        <w:t>0675</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A33077">
        <w:rPr>
          <w:rFonts w:ascii="Arial" w:eastAsia="宋体" w:hAnsi="Arial" w:cs="Arial"/>
          <w:b/>
          <w:sz w:val="24"/>
          <w:lang w:val="en-GB" w:eastAsia="ko-KR"/>
        </w:rPr>
        <w:t>17</w:t>
      </w:r>
      <w:r w:rsidR="00A33077">
        <w:rPr>
          <w:rFonts w:ascii="Arial" w:eastAsia="宋体" w:hAnsi="Arial" w:cs="Arial"/>
          <w:b/>
          <w:sz w:val="24"/>
          <w:vertAlign w:val="superscript"/>
          <w:lang w:val="en-GB" w:eastAsia="ko-KR"/>
        </w:rPr>
        <w:t>th</w:t>
      </w:r>
      <w:r w:rsidR="00A33077" w:rsidRPr="00902E98">
        <w:rPr>
          <w:rFonts w:ascii="Arial" w:eastAsia="宋体" w:hAnsi="Arial" w:cs="Arial"/>
          <w:b/>
          <w:sz w:val="24"/>
          <w:lang w:val="en-GB" w:eastAsia="ko-KR"/>
        </w:rPr>
        <w:t xml:space="preserve"> – </w:t>
      </w:r>
      <w:r w:rsidR="00A33077">
        <w:rPr>
          <w:rFonts w:ascii="Arial" w:eastAsia="宋体" w:hAnsi="Arial" w:cs="Arial"/>
          <w:b/>
          <w:sz w:val="24"/>
          <w:lang w:val="en-GB" w:eastAsia="ko-KR"/>
        </w:rPr>
        <w:t>25</w:t>
      </w:r>
      <w:r w:rsidR="00A33077" w:rsidRPr="00902E98">
        <w:rPr>
          <w:rFonts w:ascii="Arial" w:eastAsia="宋体" w:hAnsi="Arial" w:cs="Arial" w:hint="eastAsia"/>
          <w:b/>
          <w:sz w:val="24"/>
          <w:vertAlign w:val="superscript"/>
          <w:lang w:val="en-GB" w:eastAsia="ko-KR"/>
        </w:rPr>
        <w:t>th</w:t>
      </w:r>
      <w:r w:rsidR="00A33077" w:rsidRPr="00902E98">
        <w:rPr>
          <w:rFonts w:ascii="Arial" w:eastAsia="宋体" w:hAnsi="Arial" w:cs="Arial"/>
          <w:b/>
          <w:sz w:val="24"/>
          <w:lang w:val="en-GB" w:eastAsia="ko-KR"/>
        </w:rPr>
        <w:t xml:space="preserve"> </w:t>
      </w:r>
      <w:r w:rsidR="00A33077">
        <w:rPr>
          <w:rFonts w:ascii="Arial" w:eastAsia="宋体" w:hAnsi="Arial" w:cs="Arial"/>
          <w:b/>
          <w:sz w:val="24"/>
          <w:lang w:val="en-GB"/>
        </w:rPr>
        <w:t>Jan.</w:t>
      </w:r>
      <w:r w:rsidR="00A33077" w:rsidRPr="00902E98">
        <w:rPr>
          <w:rFonts w:ascii="Arial" w:eastAsia="宋体" w:hAnsi="Arial" w:cs="Arial"/>
          <w:b/>
          <w:sz w:val="24"/>
          <w:lang w:val="en-GB" w:eastAsia="ko-KR"/>
        </w:rPr>
        <w:t>,</w:t>
      </w:r>
      <w:r w:rsidR="00A33077" w:rsidRPr="00902E98">
        <w:rPr>
          <w:rFonts w:ascii="Arial" w:eastAsia="宋体" w:hAnsi="Arial" w:cs="Arial" w:hint="eastAsia"/>
          <w:b/>
          <w:sz w:val="24"/>
          <w:lang w:val="en-GB" w:eastAsia="ko-KR"/>
        </w:rPr>
        <w:t xml:space="preserve"> 20</w:t>
      </w:r>
      <w:r w:rsidR="00A33077" w:rsidRPr="00902E98">
        <w:rPr>
          <w:rFonts w:ascii="Arial" w:eastAsia="宋体" w:hAnsi="Arial" w:cs="Arial"/>
          <w:b/>
          <w:sz w:val="24"/>
          <w:lang w:val="en-GB" w:eastAsia="ko-KR"/>
        </w:rPr>
        <w:t>2</w:t>
      </w:r>
      <w:r w:rsidR="00A33077">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E5EC2">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0128AB">
        <w:rPr>
          <w:rFonts w:ascii="Arial" w:eastAsia="宋体" w:hAnsi="Arial" w:cs="Arial"/>
          <w:b/>
          <w:sz w:val="24"/>
          <w:lang w:val="en-GB" w:eastAsia="ko-KR"/>
        </w:rPr>
        <w:t xml:space="preserve">pre-configured measurement gap </w:t>
      </w:r>
      <w:r w:rsidR="00112B44">
        <w:rPr>
          <w:rFonts w:ascii="Arial" w:eastAsia="宋体" w:hAnsi="Arial" w:cs="Arial" w:hint="eastAsia"/>
          <w:b/>
          <w:sz w:val="24"/>
          <w:lang w:val="en-GB"/>
        </w:rPr>
        <w:t>for</w:t>
      </w:r>
      <w:r w:rsidR="00112B44">
        <w:rPr>
          <w:rFonts w:ascii="Arial" w:eastAsia="宋体" w:hAnsi="Arial" w:cs="Arial"/>
          <w:b/>
          <w:sz w:val="24"/>
          <w:lang w:val="en-GB" w:eastAsia="ko-KR"/>
        </w:rPr>
        <w:t xml:space="preserve">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525D1" w:rsidRPr="003525D1">
        <w:rPr>
          <w:rFonts w:ascii="Arial" w:eastAsia="宋体" w:hAnsi="Arial" w:cs="Arial"/>
          <w:b/>
          <w:sz w:val="24"/>
          <w:lang w:val="en-GB"/>
        </w:rPr>
        <w:t>6</w:t>
      </w:r>
      <w:r w:rsidR="008B4BC4" w:rsidRPr="003525D1">
        <w:rPr>
          <w:rFonts w:ascii="Arial" w:eastAsia="宋体" w:hAnsi="Arial" w:cs="Arial"/>
          <w:b/>
          <w:sz w:val="24"/>
          <w:lang w:val="en-GB"/>
        </w:rPr>
        <w:t>.1</w:t>
      </w:r>
      <w:r w:rsidR="00406074" w:rsidRPr="003525D1">
        <w:rPr>
          <w:rFonts w:ascii="Arial" w:eastAsia="宋体" w:hAnsi="Arial" w:cs="Arial"/>
          <w:b/>
          <w:sz w:val="24"/>
          <w:lang w:val="en-GB"/>
        </w:rPr>
        <w:t>1</w:t>
      </w:r>
      <w:r w:rsidRPr="003525D1">
        <w:rPr>
          <w:rFonts w:ascii="Arial" w:eastAsia="宋体" w:hAnsi="Arial" w:cs="Arial" w:hint="eastAsia"/>
          <w:b/>
          <w:sz w:val="24"/>
          <w:lang w:val="en-GB"/>
        </w:rPr>
        <w:t>.</w:t>
      </w:r>
      <w:r w:rsidRPr="003525D1">
        <w:rPr>
          <w:rFonts w:ascii="Arial" w:eastAsia="宋体" w:hAnsi="Arial" w:cs="Arial"/>
          <w:b/>
          <w:sz w:val="24"/>
          <w:lang w:val="en-GB"/>
        </w:rPr>
        <w:t>2</w:t>
      </w:r>
      <w:r w:rsidRPr="003525D1">
        <w:rPr>
          <w:rFonts w:ascii="Arial" w:eastAsia="宋体" w:hAnsi="Arial" w:cs="Arial" w:hint="eastAsia"/>
          <w:b/>
          <w:sz w:val="24"/>
          <w:lang w:val="en-GB"/>
        </w:rPr>
        <w:t>.</w:t>
      </w:r>
      <w:r w:rsidR="00112B44" w:rsidRPr="003525D1">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rsidP="00123091">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w:t>
      </w:r>
      <w:r w:rsidR="000128AB">
        <w:rPr>
          <w:rFonts w:ascii="Times New Roman" w:hAnsi="Times New Roman" w:cs="Times New Roman"/>
          <w:sz w:val="20"/>
          <w:szCs w:val="20"/>
        </w:rPr>
        <w:t>4</w:t>
      </w:r>
      <w:r w:rsidRPr="000D163E">
        <w:rPr>
          <w:rFonts w:ascii="Times New Roman" w:hAnsi="Times New Roman" w:cs="Times New Roman"/>
          <w:sz w:val="20"/>
          <w:szCs w:val="20"/>
        </w:rPr>
        <w:t>#</w:t>
      </w:r>
      <w:r w:rsidR="00584BFD">
        <w:rPr>
          <w:rFonts w:ascii="Times New Roman" w:hAnsi="Times New Roman" w:cs="Times New Roman"/>
          <w:sz w:val="20"/>
          <w:szCs w:val="20"/>
        </w:rPr>
        <w:t>101</w:t>
      </w:r>
      <w:r>
        <w:rPr>
          <w:rFonts w:ascii="Times New Roman" w:hAnsi="Times New Roman" w:cs="Times New Roman"/>
          <w:sz w:val="20"/>
          <w:szCs w:val="20"/>
        </w:rPr>
        <w:t xml:space="preserve">e meeting, </w:t>
      </w:r>
      <w:r w:rsidR="000128AB">
        <w:rPr>
          <w:rFonts w:ascii="Times New Roman" w:hAnsi="Times New Roman" w:cs="Times New Roman"/>
          <w:sz w:val="20"/>
          <w:szCs w:val="20"/>
        </w:rPr>
        <w:t xml:space="preserve">RAN4 had </w:t>
      </w:r>
      <w:r w:rsidR="00584BFD">
        <w:rPr>
          <w:rFonts w:ascii="Times New Roman" w:hAnsi="Times New Roman" w:cs="Times New Roman"/>
          <w:sz w:val="20"/>
          <w:szCs w:val="20"/>
        </w:rPr>
        <w:t>extensive</w:t>
      </w:r>
      <w:r w:rsidR="000128AB">
        <w:rPr>
          <w:rFonts w:ascii="Times New Roman" w:hAnsi="Times New Roman" w:cs="Times New Roman"/>
          <w:sz w:val="20"/>
          <w:szCs w:val="20"/>
        </w:rPr>
        <w:t xml:space="preserve"> discussion on pre-configured measurement gap and the related WF was approved in WF</w:t>
      </w:r>
      <w:r>
        <w:rPr>
          <w:rFonts w:ascii="Times New Roman" w:hAnsi="Times New Roman" w:cs="Times New Roman"/>
          <w:sz w:val="20"/>
          <w:szCs w:val="20"/>
        </w:rPr>
        <w:t xml:space="preserve"> [1]. In this contribution, we </w:t>
      </w:r>
      <w:r w:rsidR="00123091">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23091">
        <w:rPr>
          <w:rFonts w:ascii="Times New Roman" w:hAnsi="Times New Roman" w:cs="Times New Roman"/>
          <w:sz w:val="20"/>
          <w:szCs w:val="20"/>
        </w:rPr>
        <w:t xml:space="preserve">the </w:t>
      </w:r>
      <w:r w:rsidR="00C639C4">
        <w:rPr>
          <w:rFonts w:ascii="Times New Roman" w:hAnsi="Times New Roman" w:cs="Times New Roman"/>
          <w:sz w:val="20"/>
          <w:szCs w:val="20"/>
        </w:rPr>
        <w:t>pre-configured measurement</w:t>
      </w:r>
      <w:r w:rsidR="00E34795">
        <w:rPr>
          <w:rFonts w:ascii="Times New Roman" w:hAnsi="Times New Roman" w:cs="Times New Roman"/>
          <w:sz w:val="20"/>
          <w:szCs w:val="20"/>
        </w:rPr>
        <w:t xml:space="preserve"> </w:t>
      </w:r>
      <w:r w:rsidR="00777331">
        <w:rPr>
          <w:rFonts w:ascii="Times New Roman" w:hAnsi="Times New Roman" w:cs="Times New Roman"/>
          <w:sz w:val="20"/>
          <w:szCs w:val="20"/>
        </w:rPr>
        <w:t xml:space="preserve">gap </w:t>
      </w:r>
      <w:r w:rsidR="00E34795">
        <w:rPr>
          <w:rFonts w:ascii="Times New Roman" w:hAnsi="Times New Roman" w:cs="Times New Roman"/>
          <w:sz w:val="20"/>
          <w:szCs w:val="20"/>
        </w:rPr>
        <w:t>mechanism</w:t>
      </w:r>
      <w:r w:rsidR="00123091">
        <w:rPr>
          <w:rFonts w:ascii="Times New Roman" w:hAnsi="Times New Roman" w:cs="Times New Roman"/>
          <w:sz w:val="20"/>
          <w:szCs w:val="20"/>
        </w:rPr>
        <w:t xml:space="preserve"> for NR</w:t>
      </w:r>
      <w:r w:rsidR="00E34795">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2439A5" w:rsidRDefault="000D163E" w:rsidP="002439A5">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tbl>
      <w:tblPr>
        <w:tblW w:w="833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9"/>
      </w:tblGrid>
      <w:tr w:rsidR="0053252A" w:rsidTr="0053252A">
        <w:trPr>
          <w:trHeight w:val="1012"/>
        </w:trPr>
        <w:tc>
          <w:tcPr>
            <w:tcW w:w="8339" w:type="dxa"/>
          </w:tcPr>
          <w:p w:rsidR="0053252A" w:rsidRDefault="0053252A" w:rsidP="0053252A">
            <w:pPr>
              <w:rPr>
                <w:b/>
                <w:bCs/>
                <w:sz w:val="22"/>
                <w:szCs w:val="16"/>
                <w:u w:val="single"/>
              </w:rPr>
            </w:pPr>
            <w:r w:rsidRPr="0053252A">
              <w:rPr>
                <w:rFonts w:ascii="Times New Roman" w:hAnsi="Times New Roman" w:cs="Times New Roman"/>
                <w:b/>
                <w:bCs/>
                <w:sz w:val="20"/>
                <w:szCs w:val="20"/>
                <w:u w:val="single"/>
              </w:rPr>
              <w:t xml:space="preserve">Rules of for UE autonomous Pre-MG activation/deactivation </w:t>
            </w:r>
          </w:p>
          <w:p w:rsidR="0053252A" w:rsidRPr="0053252A" w:rsidRDefault="0053252A" w:rsidP="0053252A">
            <w:pPr>
              <w:rPr>
                <w:rFonts w:ascii="Times New Roman" w:hAnsi="Times New Roman" w:cs="Times New Roman"/>
                <w:sz w:val="20"/>
                <w:szCs w:val="20"/>
              </w:rPr>
            </w:pPr>
            <w:r w:rsidRPr="0053252A">
              <w:rPr>
                <w:rFonts w:ascii="Times New Roman" w:hAnsi="Times New Roman" w:cs="Times New Roman"/>
                <w:sz w:val="20"/>
                <w:szCs w:val="20"/>
              </w:rPr>
              <w:t xml:space="preserve">“Rules of for UE autonomous Pre-MG activation/deactivation shall be: </w:t>
            </w:r>
          </w:p>
          <w:p w:rsidR="0053252A" w:rsidRPr="0053252A" w:rsidRDefault="0053252A" w:rsidP="005C79FF">
            <w:pPr>
              <w:pStyle w:val="a7"/>
              <w:numPr>
                <w:ilvl w:val="0"/>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The trigger events that may change the activation status of pre-MG configured to UE include:</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 xml:space="preserve">BWP switching, </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adding/removing any measurement object(s): FFS</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adding/releasing/changing SCell(s): FFS</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activating/de-activating any Scell(s):FFS</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LPP positioning request: FFS</w:t>
            </w:r>
          </w:p>
          <w:p w:rsidR="0053252A" w:rsidRPr="0053252A" w:rsidRDefault="0053252A" w:rsidP="005C79FF">
            <w:pPr>
              <w:pStyle w:val="a7"/>
              <w:numPr>
                <w:ilvl w:val="0"/>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And the general applicability rules for measurement gap for SSB, CSI-RS L3, Rel16 PRS in TS38.133</w:t>
            </w:r>
          </w:p>
          <w:p w:rsidR="0053252A" w:rsidRPr="0053252A" w:rsidRDefault="0053252A" w:rsidP="005C79FF">
            <w:pPr>
              <w:pStyle w:val="a7"/>
              <w:numPr>
                <w:ilvl w:val="1"/>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If MG is not required by any of the configured measurements, the MG is deactivated e.g. when.</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the UE is configured with only SSB measurements, and all the measured SSBs are fully within the BW of the active BWP.</w:t>
            </w:r>
          </w:p>
          <w:p w:rsidR="0053252A" w:rsidRPr="0053252A" w:rsidRDefault="0053252A" w:rsidP="005C79FF">
            <w:pPr>
              <w:pStyle w:val="a7"/>
              <w:numPr>
                <w:ilvl w:val="1"/>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If MG is required by one or more of the configured measurements, the MG is activated e.g. when:</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the UE is configured with at least CSI-RS measurements or,</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the UE is configured with at least PRS measurements or ,</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the UE is configured with only SSB measurements, and one of the measured SSBs is not fully within the BW of the active BWPs or.</w:t>
            </w:r>
          </w:p>
          <w:p w:rsidR="0053252A" w:rsidRPr="0053252A" w:rsidRDefault="0053252A" w:rsidP="005C79FF">
            <w:pPr>
              <w:pStyle w:val="a7"/>
              <w:numPr>
                <w:ilvl w:val="2"/>
                <w:numId w:val="33"/>
              </w:numPr>
              <w:overflowPunct w:val="0"/>
              <w:autoSpaceDE w:val="0"/>
              <w:autoSpaceDN w:val="0"/>
              <w:adjustRightInd w:val="0"/>
              <w:spacing w:line="259" w:lineRule="auto"/>
              <w:contextualSpacing w:val="0"/>
              <w:textAlignment w:val="baseline"/>
              <w:rPr>
                <w:rFonts w:eastAsiaTheme="minorEastAsia"/>
                <w:kern w:val="2"/>
                <w:sz w:val="20"/>
                <w:szCs w:val="20"/>
                <w:lang w:eastAsia="zh-CN"/>
              </w:rPr>
            </w:pPr>
            <w:r w:rsidRPr="0053252A">
              <w:rPr>
                <w:rFonts w:eastAsiaTheme="minorEastAsia"/>
                <w:kern w:val="2"/>
                <w:sz w:val="20"/>
                <w:szCs w:val="20"/>
                <w:lang w:eastAsia="zh-CN"/>
              </w:rPr>
              <w:t>the UE is configured with at least inter-RAT measurements.</w:t>
            </w:r>
          </w:p>
          <w:p w:rsidR="0053252A" w:rsidRPr="0053252A" w:rsidRDefault="0053252A" w:rsidP="0053252A">
            <w:pPr>
              <w:tabs>
                <w:tab w:val="left" w:pos="720"/>
              </w:tabs>
              <w:rPr>
                <w:rFonts w:ascii="Times New Roman" w:hAnsi="Times New Roman" w:cs="Times New Roman"/>
                <w:sz w:val="20"/>
                <w:szCs w:val="20"/>
              </w:rPr>
            </w:pPr>
            <w:r w:rsidRPr="0053252A">
              <w:rPr>
                <w:rFonts w:ascii="Times New Roman" w:hAnsi="Times New Roman" w:cs="Times New Roman"/>
                <w:sz w:val="20"/>
                <w:szCs w:val="20"/>
              </w:rPr>
              <w:t>Notes: Exact way to capture the rules for UE autonomous Pre-MG activation/deactivation can be discussed based on the CR.</w:t>
            </w:r>
          </w:p>
        </w:tc>
      </w:tr>
    </w:tbl>
    <w:p w:rsidR="00275565" w:rsidRDefault="005C79FF" w:rsidP="00275565">
      <w:pPr>
        <w:rPr>
          <w:rFonts w:ascii="Times New Roman" w:hAnsi="Times New Roman" w:cs="Times New Roman"/>
          <w:sz w:val="20"/>
          <w:szCs w:val="20"/>
        </w:rPr>
      </w:pPr>
      <w:r>
        <w:rPr>
          <w:rFonts w:ascii="Times New Roman" w:hAnsi="Times New Roman" w:cs="Times New Roman" w:hint="eastAsia"/>
          <w:bCs/>
          <w:sz w:val="20"/>
          <w:szCs w:val="20"/>
        </w:rPr>
        <w:t>In</w:t>
      </w:r>
      <w:r>
        <w:rPr>
          <w:rFonts w:ascii="Times New Roman" w:hAnsi="Times New Roman" w:cs="Times New Roman"/>
          <w:bCs/>
          <w:sz w:val="20"/>
          <w:szCs w:val="20"/>
        </w:rPr>
        <w:t xml:space="preserve"> last RAN4 meeting, it was agreed that UE autonomous pre-MG activation/deactivation is supported in Rel-17, and the triggering events for UE autonomous pre-MG activation/deactivation are FFS. </w:t>
      </w:r>
      <w:r w:rsidR="00275565">
        <w:rPr>
          <w:rFonts w:ascii="Times New Roman" w:hAnsi="Times New Roman" w:cs="Times New Roman"/>
          <w:sz w:val="20"/>
          <w:szCs w:val="20"/>
        </w:rPr>
        <w:t xml:space="preserve">In my </w:t>
      </w:r>
      <w:r w:rsidR="00275565">
        <w:rPr>
          <w:rFonts w:ascii="Times New Roman" w:hAnsi="Times New Roman" w:cs="Times New Roman"/>
          <w:sz w:val="20"/>
          <w:szCs w:val="20"/>
        </w:rPr>
        <w:lastRenderedPageBreak/>
        <w:t>understanding, UE may need to autonomously to update the status (activation/deactivation) of Pre-MG with the measurement changes due to any operations of:</w:t>
      </w:r>
    </w:p>
    <w:p w:rsidR="00275565" w:rsidRPr="00555FD0" w:rsidRDefault="00275565" w:rsidP="00275565">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 xml:space="preserve">BWP switching  </w:t>
      </w:r>
    </w:p>
    <w:p w:rsidR="00275565" w:rsidRPr="00555FD0" w:rsidRDefault="00275565" w:rsidP="00275565">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adding/removing any measurement object(s),</w:t>
      </w:r>
    </w:p>
    <w:p w:rsidR="00275565" w:rsidRPr="00555FD0" w:rsidRDefault="00275565" w:rsidP="00275565">
      <w:pPr>
        <w:numPr>
          <w:ilvl w:val="0"/>
          <w:numId w:val="21"/>
        </w:numPr>
        <w:rPr>
          <w:rFonts w:ascii="Times New Roman" w:hAnsi="Times New Roman" w:cs="Times New Roman"/>
          <w:bCs/>
          <w:sz w:val="20"/>
          <w:szCs w:val="20"/>
        </w:rPr>
      </w:pPr>
      <w:r>
        <w:rPr>
          <w:rFonts w:ascii="Times New Roman" w:hAnsi="Times New Roman" w:cs="Times New Roman"/>
          <w:bCs/>
          <w:sz w:val="20"/>
          <w:szCs w:val="20"/>
        </w:rPr>
        <w:t xml:space="preserve">adding/releasing/changing </w:t>
      </w:r>
      <w:r w:rsidRPr="00555FD0">
        <w:rPr>
          <w:rFonts w:ascii="Times New Roman" w:hAnsi="Times New Roman" w:cs="Times New Roman"/>
          <w:bCs/>
          <w:sz w:val="20"/>
          <w:szCs w:val="20"/>
        </w:rPr>
        <w:t>SCell</w:t>
      </w:r>
      <w:r>
        <w:rPr>
          <w:rFonts w:ascii="Times New Roman" w:hAnsi="Times New Roman" w:cs="Times New Roman"/>
          <w:bCs/>
          <w:sz w:val="20"/>
          <w:szCs w:val="20"/>
        </w:rPr>
        <w:t>(s)</w:t>
      </w:r>
      <w:r w:rsidRPr="00555FD0">
        <w:rPr>
          <w:rFonts w:ascii="Times New Roman" w:hAnsi="Times New Roman" w:cs="Times New Roman"/>
          <w:bCs/>
          <w:sz w:val="20"/>
          <w:szCs w:val="20"/>
        </w:rPr>
        <w:t xml:space="preserve">, </w:t>
      </w:r>
    </w:p>
    <w:p w:rsidR="00275565" w:rsidRDefault="00275565" w:rsidP="00275565">
      <w:pPr>
        <w:numPr>
          <w:ilvl w:val="0"/>
          <w:numId w:val="21"/>
        </w:numPr>
        <w:rPr>
          <w:rFonts w:ascii="Times New Roman" w:hAnsi="Times New Roman" w:cs="Times New Roman"/>
          <w:bCs/>
          <w:sz w:val="20"/>
          <w:szCs w:val="20"/>
        </w:rPr>
      </w:pPr>
      <w:r w:rsidRPr="00555FD0">
        <w:rPr>
          <w:rFonts w:ascii="Times New Roman" w:hAnsi="Times New Roman" w:cs="Times New Roman"/>
          <w:bCs/>
          <w:sz w:val="20"/>
          <w:szCs w:val="20"/>
        </w:rPr>
        <w:t>activating/de-activating Scell(s)</w:t>
      </w:r>
    </w:p>
    <w:p w:rsidR="00275565" w:rsidRPr="00555FD0" w:rsidRDefault="00275565" w:rsidP="00275565">
      <w:pPr>
        <w:numPr>
          <w:ilvl w:val="0"/>
          <w:numId w:val="21"/>
        </w:numPr>
        <w:rPr>
          <w:rFonts w:ascii="Times New Roman" w:hAnsi="Times New Roman" w:cs="Times New Roman"/>
          <w:bCs/>
          <w:sz w:val="20"/>
          <w:szCs w:val="20"/>
        </w:rPr>
      </w:pPr>
      <w:r w:rsidRPr="00275565">
        <w:rPr>
          <w:rFonts w:ascii="Times New Roman" w:hAnsi="Times New Roman" w:cs="Times New Roman"/>
          <w:bCs/>
          <w:sz w:val="20"/>
          <w:szCs w:val="20"/>
        </w:rPr>
        <w:t>LPP positioning request</w:t>
      </w:r>
    </w:p>
    <w:p w:rsidR="00275565" w:rsidRPr="0038386A" w:rsidRDefault="00275565" w:rsidP="00275565">
      <w:pPr>
        <w:spacing w:before="240"/>
        <w:rPr>
          <w:rFonts w:ascii="Times New Roman" w:hAnsi="Times New Roman" w:cs="Times New Roman"/>
          <w:b/>
          <w:sz w:val="20"/>
          <w:szCs w:val="20"/>
        </w:rPr>
      </w:pPr>
      <w:r w:rsidRPr="0038386A">
        <w:rPr>
          <w:rFonts w:ascii="Times New Roman" w:hAnsi="Times New Roman" w:cs="Times New Roman"/>
          <w:b/>
          <w:sz w:val="20"/>
          <w:szCs w:val="20"/>
        </w:rPr>
        <w:t xml:space="preserve">Proposal 1: </w:t>
      </w:r>
      <w:r w:rsidR="00E24D7C" w:rsidRPr="0038386A">
        <w:rPr>
          <w:rFonts w:ascii="Times New Roman" w:hAnsi="Times New Roman" w:cs="Times New Roman"/>
          <w:b/>
          <w:sz w:val="20"/>
          <w:szCs w:val="20"/>
        </w:rPr>
        <w:t>For UE autonomous pre-MG activation/deactivation, t</w:t>
      </w:r>
      <w:r w:rsidRPr="0038386A">
        <w:rPr>
          <w:rFonts w:ascii="Times New Roman" w:hAnsi="Times New Roman" w:cs="Times New Roman"/>
          <w:b/>
          <w:sz w:val="20"/>
          <w:szCs w:val="20"/>
        </w:rPr>
        <w:t>he trigger events that may change the status of pre-MG configured to UE include:</w:t>
      </w:r>
    </w:p>
    <w:p w:rsidR="00275565" w:rsidRPr="0038386A" w:rsidRDefault="00275565" w:rsidP="00275565">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 xml:space="preserve">BWP switching  </w:t>
      </w:r>
    </w:p>
    <w:p w:rsidR="00275565" w:rsidRPr="0038386A" w:rsidRDefault="00275565" w:rsidP="00275565">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adding/removing any measurement object(s),</w:t>
      </w:r>
    </w:p>
    <w:p w:rsidR="00275565" w:rsidRPr="0038386A" w:rsidRDefault="00275565" w:rsidP="00275565">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 xml:space="preserve">adding/releasing/changing SCell(s), </w:t>
      </w:r>
    </w:p>
    <w:p w:rsidR="00275565" w:rsidRPr="0038386A" w:rsidRDefault="00275565" w:rsidP="00275565">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activating/de-activating SCell(s)</w:t>
      </w:r>
    </w:p>
    <w:p w:rsidR="00275565" w:rsidRPr="0038386A" w:rsidRDefault="00275565" w:rsidP="00275565">
      <w:pPr>
        <w:numPr>
          <w:ilvl w:val="0"/>
          <w:numId w:val="21"/>
        </w:numPr>
        <w:spacing w:after="240"/>
        <w:rPr>
          <w:rFonts w:ascii="Times New Roman" w:hAnsi="Times New Roman" w:cs="Times New Roman"/>
          <w:b/>
          <w:sz w:val="20"/>
          <w:szCs w:val="20"/>
        </w:rPr>
      </w:pPr>
      <w:r w:rsidRPr="0038386A">
        <w:rPr>
          <w:rFonts w:ascii="Times New Roman" w:hAnsi="Times New Roman" w:cs="Times New Roman"/>
          <w:b/>
          <w:sz w:val="20"/>
          <w:szCs w:val="20"/>
        </w:rPr>
        <w:t>LPP positioning request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D57BEC" w:rsidTr="00D57BEC">
        <w:trPr>
          <w:trHeight w:val="1149"/>
        </w:trPr>
        <w:tc>
          <w:tcPr>
            <w:tcW w:w="8290" w:type="dxa"/>
          </w:tcPr>
          <w:p w:rsidR="00A570A6" w:rsidRPr="00A570A6" w:rsidRDefault="00A570A6" w:rsidP="00A570A6">
            <w:pPr>
              <w:rPr>
                <w:rFonts w:ascii="Times New Roman" w:hAnsi="Times New Roman" w:cs="Times New Roman"/>
                <w:b/>
                <w:bCs/>
                <w:sz w:val="20"/>
                <w:szCs w:val="20"/>
                <w:u w:val="single"/>
              </w:rPr>
            </w:pPr>
            <w:r w:rsidRPr="00A570A6">
              <w:rPr>
                <w:rFonts w:ascii="Times New Roman" w:hAnsi="Times New Roman" w:cs="Times New Roman"/>
                <w:b/>
                <w:bCs/>
                <w:sz w:val="20"/>
                <w:szCs w:val="20"/>
                <w:u w:val="single"/>
              </w:rPr>
              <w:t>Using of pre-configured MG for CA</w:t>
            </w:r>
            <w:r w:rsidRPr="00A570A6">
              <w:rPr>
                <w:rFonts w:ascii="Times New Roman" w:hAnsi="Times New Roman" w:cs="Times New Roman" w:hint="eastAsia"/>
                <w:b/>
                <w:bCs/>
                <w:sz w:val="20"/>
                <w:szCs w:val="20"/>
                <w:u w:val="single"/>
              </w:rPr>
              <w:t xml:space="preserve"> </w:t>
            </w:r>
          </w:p>
          <w:p w:rsidR="00A570A6" w:rsidRPr="00A570A6" w:rsidRDefault="00A570A6" w:rsidP="00A570A6">
            <w:pPr>
              <w:pStyle w:val="a7"/>
              <w:numPr>
                <w:ilvl w:val="0"/>
                <w:numId w:val="38"/>
              </w:numPr>
              <w:overflowPunct w:val="0"/>
              <w:autoSpaceDE w:val="0"/>
              <w:autoSpaceDN w:val="0"/>
              <w:adjustRightInd w:val="0"/>
              <w:spacing w:after="180" w:line="259" w:lineRule="auto"/>
              <w:contextualSpacing w:val="0"/>
              <w:textAlignment w:val="baseline"/>
              <w:rPr>
                <w:rFonts w:eastAsiaTheme="minorEastAsia"/>
                <w:bCs/>
                <w:sz w:val="20"/>
              </w:rPr>
            </w:pPr>
            <w:r w:rsidRPr="00A570A6">
              <w:rPr>
                <w:rFonts w:eastAsiaTheme="minorEastAsia"/>
                <w:bCs/>
                <w:sz w:val="20"/>
              </w:rPr>
              <w:t>In this meeting, RAN4 continue focus on the single carrier case and evaluate the additional working efforts to support the CA case with pre-configured MG activation/deactivation based on BWP switching on a single CC</w:t>
            </w:r>
          </w:p>
          <w:p w:rsidR="00A570A6" w:rsidRPr="00A570A6" w:rsidRDefault="00A570A6" w:rsidP="00A570A6">
            <w:pPr>
              <w:pStyle w:val="a7"/>
              <w:numPr>
                <w:ilvl w:val="0"/>
                <w:numId w:val="38"/>
              </w:numPr>
              <w:overflowPunct w:val="0"/>
              <w:autoSpaceDE w:val="0"/>
              <w:autoSpaceDN w:val="0"/>
              <w:adjustRightInd w:val="0"/>
              <w:spacing w:after="180" w:line="259" w:lineRule="auto"/>
              <w:contextualSpacing w:val="0"/>
              <w:textAlignment w:val="baseline"/>
              <w:rPr>
                <w:rFonts w:eastAsiaTheme="minorEastAsia"/>
                <w:bCs/>
                <w:sz w:val="20"/>
              </w:rPr>
            </w:pPr>
            <w:r w:rsidRPr="00A570A6">
              <w:rPr>
                <w:rFonts w:eastAsiaTheme="minorEastAsia"/>
                <w:bCs/>
                <w:sz w:val="20"/>
              </w:rPr>
              <w:t>The companies are encouraged to bring the analysis and concrete solutions of pre-MG under CA case with activation/deactivation based on BWP switching on a single CC in R4#101e-b.</w:t>
            </w:r>
          </w:p>
          <w:p w:rsidR="009B0C6D" w:rsidRPr="00A570A6" w:rsidRDefault="00A570A6" w:rsidP="00A570A6">
            <w:pPr>
              <w:pStyle w:val="a7"/>
              <w:numPr>
                <w:ilvl w:val="0"/>
                <w:numId w:val="38"/>
              </w:numPr>
              <w:overflowPunct w:val="0"/>
              <w:autoSpaceDE w:val="0"/>
              <w:autoSpaceDN w:val="0"/>
              <w:adjustRightInd w:val="0"/>
              <w:spacing w:after="180" w:line="259" w:lineRule="auto"/>
              <w:contextualSpacing w:val="0"/>
              <w:textAlignment w:val="baseline"/>
              <w:rPr>
                <w:rFonts w:eastAsiaTheme="minorEastAsia"/>
                <w:sz w:val="20"/>
              </w:rPr>
            </w:pPr>
            <w:r w:rsidRPr="00A570A6">
              <w:rPr>
                <w:rFonts w:eastAsiaTheme="minorEastAsia"/>
                <w:bCs/>
                <w:sz w:val="20"/>
              </w:rPr>
              <w:t>By the end of R4#102e (Feb, 2022), if  the problems on pre-MG under CA case with activation/deactivation based on BWP switching on a single CC can’t be resolved in RAN4, by default they will be deferred to further release</w:t>
            </w:r>
            <w:r w:rsidRPr="00A570A6">
              <w:rPr>
                <w:rFonts w:eastAsiaTheme="minorEastAsia"/>
                <w:sz w:val="20"/>
              </w:rPr>
              <w:t>.</w:t>
            </w:r>
          </w:p>
        </w:tc>
      </w:tr>
    </w:tbl>
    <w:p w:rsidR="002439A5" w:rsidRDefault="0053252A" w:rsidP="002439A5">
      <w:pPr>
        <w:rPr>
          <w:rFonts w:ascii="Times New Roman" w:hAnsi="Times New Roman" w:cs="Times New Roman"/>
          <w:bCs/>
          <w:sz w:val="20"/>
          <w:szCs w:val="20"/>
        </w:rPr>
      </w:pPr>
      <w:r>
        <w:rPr>
          <w:rFonts w:ascii="Times New Roman" w:hAnsi="Times New Roman" w:cs="Times New Roman" w:hint="eastAsia"/>
          <w:bCs/>
          <w:sz w:val="20"/>
          <w:szCs w:val="20"/>
        </w:rPr>
        <w:t>In</w:t>
      </w:r>
      <w:r>
        <w:rPr>
          <w:rFonts w:ascii="Times New Roman" w:hAnsi="Times New Roman" w:cs="Times New Roman"/>
          <w:bCs/>
          <w:sz w:val="20"/>
          <w:szCs w:val="20"/>
        </w:rPr>
        <w:t xml:space="preserve"> last RAN4 meeting, </w:t>
      </w:r>
      <w:r w:rsidR="00E24D7C">
        <w:rPr>
          <w:rFonts w:ascii="Times New Roman" w:hAnsi="Times New Roman" w:cs="Times New Roman"/>
          <w:bCs/>
          <w:sz w:val="20"/>
          <w:szCs w:val="20"/>
        </w:rPr>
        <w:t>one of the controversial issue is whether</w:t>
      </w:r>
      <w:r>
        <w:rPr>
          <w:rFonts w:ascii="Times New Roman" w:hAnsi="Times New Roman" w:cs="Times New Roman"/>
          <w:bCs/>
          <w:sz w:val="20"/>
          <w:szCs w:val="20"/>
        </w:rPr>
        <w:t xml:space="preserve"> </w:t>
      </w:r>
      <w:r w:rsidR="00E24D7C">
        <w:rPr>
          <w:rFonts w:ascii="Times New Roman" w:hAnsi="Times New Roman" w:cs="Times New Roman"/>
          <w:bCs/>
          <w:sz w:val="20"/>
          <w:szCs w:val="20"/>
        </w:rPr>
        <w:t>the</w:t>
      </w:r>
      <w:r>
        <w:rPr>
          <w:rFonts w:ascii="Times New Roman" w:hAnsi="Times New Roman" w:cs="Times New Roman"/>
          <w:bCs/>
          <w:sz w:val="20"/>
          <w:szCs w:val="20"/>
        </w:rPr>
        <w:t xml:space="preserve"> pre-MG under CA case</w:t>
      </w:r>
      <w:r w:rsidR="00E24D7C">
        <w:rPr>
          <w:rFonts w:ascii="Times New Roman" w:hAnsi="Times New Roman" w:cs="Times New Roman"/>
          <w:bCs/>
          <w:sz w:val="20"/>
          <w:szCs w:val="20"/>
        </w:rPr>
        <w:t xml:space="preserve"> with pre-MG activation/deactivation based on BWP switching on a single CC is supported or not</w:t>
      </w:r>
      <w:r>
        <w:rPr>
          <w:rFonts w:ascii="Times New Roman" w:hAnsi="Times New Roman" w:cs="Times New Roman"/>
          <w:bCs/>
          <w:sz w:val="20"/>
          <w:szCs w:val="20"/>
        </w:rPr>
        <w:t xml:space="preserve">. </w:t>
      </w:r>
      <w:r w:rsidR="00E24D7C">
        <w:rPr>
          <w:rFonts w:ascii="Times New Roman" w:hAnsi="Times New Roman" w:cs="Times New Roman"/>
          <w:bCs/>
          <w:sz w:val="20"/>
          <w:szCs w:val="20"/>
        </w:rPr>
        <w:t xml:space="preserve">For UE autonomous pre-MG activation/deactivation, the above triggering events used pre-MG activation/deactivation under single CC can be applied to CA case with pre-MG activation/deactivation based on BWP switching on a single CC. However, for network-controlled pre-MG activation/deactivation, </w:t>
      </w:r>
      <w:r w:rsidR="00884466">
        <w:rPr>
          <w:rFonts w:ascii="Times New Roman" w:hAnsi="Times New Roman" w:cs="Times New Roman"/>
          <w:bCs/>
          <w:sz w:val="20"/>
          <w:szCs w:val="20"/>
        </w:rPr>
        <w:t>when the measurement changes are not triggered by RRC configuration, e.g. SCell activation/deactivation, the status of pre-MG cannot be updat</w:t>
      </w:r>
      <w:r w:rsidR="003A6C0B">
        <w:rPr>
          <w:rFonts w:ascii="Times New Roman" w:hAnsi="Times New Roman" w:cs="Times New Roman"/>
          <w:bCs/>
          <w:sz w:val="20"/>
          <w:szCs w:val="20"/>
        </w:rPr>
        <w:t>ed accordingly. Thus, for UEs only support network-controlled pre-MG activation/deactivation, the pre-MG under CA case is not supported.</w:t>
      </w:r>
    </w:p>
    <w:p w:rsidR="003A6C0B" w:rsidRPr="003A6C0B" w:rsidRDefault="003A6C0B" w:rsidP="003A6C0B">
      <w:pPr>
        <w:spacing w:before="240"/>
        <w:rPr>
          <w:rFonts w:ascii="Times New Roman" w:hAnsi="Times New Roman" w:cs="Times New Roman"/>
          <w:b/>
          <w:sz w:val="20"/>
          <w:szCs w:val="20"/>
        </w:rPr>
      </w:pPr>
      <w:r w:rsidRPr="003A6C0B">
        <w:rPr>
          <w:rFonts w:ascii="Times New Roman" w:hAnsi="Times New Roman" w:cs="Times New Roman"/>
          <w:b/>
          <w:sz w:val="20"/>
          <w:szCs w:val="20"/>
        </w:rPr>
        <w:t>Observation 1</w:t>
      </w:r>
      <w:r w:rsidRPr="003A6C0B">
        <w:rPr>
          <w:rFonts w:ascii="Times New Roman" w:hAnsi="Times New Roman" w:cs="Times New Roman" w:hint="eastAsia"/>
          <w:b/>
          <w:sz w:val="20"/>
          <w:szCs w:val="20"/>
        </w:rPr>
        <w:t>：</w:t>
      </w:r>
      <w:r w:rsidRPr="003A6C0B">
        <w:rPr>
          <w:rFonts w:ascii="Times New Roman" w:hAnsi="Times New Roman" w:cs="Times New Roman"/>
          <w:b/>
          <w:sz w:val="20"/>
          <w:szCs w:val="20"/>
        </w:rPr>
        <w:t>For UEs only support network-controlled pre-MG activation/deactivation, when the measurement changes are not triggered by RRC configuration, e.g. SCell activation/deactivation, the status of pre-MG cannot be updated accordingly.</w:t>
      </w:r>
    </w:p>
    <w:p w:rsidR="00481E68" w:rsidRDefault="00481E68" w:rsidP="00481E68">
      <w:pPr>
        <w:spacing w:before="240" w:after="240"/>
        <w:rPr>
          <w:rFonts w:ascii="Times New Roman" w:hAnsi="Times New Roman" w:cs="Times New Roman"/>
          <w:b/>
          <w:sz w:val="20"/>
          <w:szCs w:val="20"/>
        </w:rPr>
      </w:pPr>
      <w:r w:rsidRPr="00481E68">
        <w:rPr>
          <w:rFonts w:ascii="Times New Roman" w:hAnsi="Times New Roman" w:cs="Times New Roman"/>
          <w:b/>
          <w:sz w:val="20"/>
          <w:szCs w:val="20"/>
        </w:rPr>
        <w:t xml:space="preserve">Proposal </w:t>
      </w:r>
      <w:r w:rsidR="0038386A">
        <w:rPr>
          <w:rFonts w:ascii="Times New Roman" w:hAnsi="Times New Roman" w:cs="Times New Roman"/>
          <w:b/>
          <w:sz w:val="20"/>
          <w:szCs w:val="20"/>
        </w:rPr>
        <w:t>2</w:t>
      </w:r>
      <w:r w:rsidRPr="00481E68">
        <w:rPr>
          <w:rFonts w:ascii="Times New Roman" w:hAnsi="Times New Roman" w:cs="Times New Roman"/>
          <w:b/>
          <w:sz w:val="20"/>
          <w:szCs w:val="20"/>
        </w:rPr>
        <w:t xml:space="preserve">: </w:t>
      </w:r>
      <w:r w:rsidR="003A6C0B" w:rsidRPr="003A6C0B">
        <w:rPr>
          <w:rFonts w:ascii="Times New Roman" w:hAnsi="Times New Roman" w:cs="Times New Roman"/>
          <w:b/>
          <w:sz w:val="20"/>
          <w:szCs w:val="20"/>
        </w:rPr>
        <w:t xml:space="preserve">For UEs support </w:t>
      </w:r>
      <w:r w:rsidR="003A6C0B">
        <w:rPr>
          <w:rFonts w:ascii="Times New Roman" w:hAnsi="Times New Roman" w:cs="Times New Roman"/>
          <w:b/>
          <w:sz w:val="20"/>
          <w:szCs w:val="20"/>
        </w:rPr>
        <w:t>UE autonomous</w:t>
      </w:r>
      <w:r w:rsidR="003A6C0B" w:rsidRPr="003A6C0B">
        <w:rPr>
          <w:rFonts w:ascii="Times New Roman" w:hAnsi="Times New Roman" w:cs="Times New Roman"/>
          <w:b/>
          <w:sz w:val="20"/>
          <w:szCs w:val="20"/>
        </w:rPr>
        <w:t xml:space="preserve"> pre-MG activation/deactivation</w:t>
      </w:r>
      <w:r w:rsidR="003A6C0B">
        <w:rPr>
          <w:rFonts w:ascii="Times New Roman" w:hAnsi="Times New Roman" w:cs="Times New Roman"/>
          <w:b/>
          <w:sz w:val="20"/>
          <w:szCs w:val="20"/>
        </w:rPr>
        <w:t>,</w:t>
      </w:r>
      <w:r w:rsidR="003A6C0B">
        <w:rPr>
          <w:rFonts w:ascii="Times New Roman" w:hAnsi="Times New Roman" w:cs="Times New Roman" w:hint="eastAsia"/>
          <w:b/>
          <w:sz w:val="20"/>
          <w:szCs w:val="20"/>
        </w:rPr>
        <w:t xml:space="preserve"> </w:t>
      </w:r>
      <w:r w:rsidR="003A6C0B">
        <w:rPr>
          <w:rFonts w:ascii="Times New Roman" w:hAnsi="Times New Roman" w:cs="Times New Roman"/>
          <w:b/>
          <w:sz w:val="20"/>
          <w:szCs w:val="20"/>
        </w:rPr>
        <w:t>t</w:t>
      </w:r>
      <w:r w:rsidR="003A6C0B" w:rsidRPr="003A6C0B">
        <w:rPr>
          <w:rFonts w:ascii="Times New Roman" w:hAnsi="Times New Roman" w:cs="Times New Roman"/>
          <w:b/>
          <w:sz w:val="20"/>
          <w:szCs w:val="20"/>
        </w:rPr>
        <w:t>he pre-MG under CA case with pre-MG activation/deactivation based on BWP switching on a single CC is supported</w:t>
      </w:r>
      <w:r w:rsidRPr="00481E68">
        <w:rPr>
          <w:rFonts w:ascii="Times New Roman" w:hAnsi="Times New Roman" w:cs="Times New Roman"/>
          <w:b/>
          <w:sz w:val="20"/>
          <w:szCs w:val="20"/>
        </w:rPr>
        <w:t>.</w:t>
      </w:r>
    </w:p>
    <w:tbl>
      <w:tblPr>
        <w:tblW w:w="84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D91323" w:rsidTr="00D91323">
        <w:trPr>
          <w:trHeight w:val="924"/>
        </w:trPr>
        <w:tc>
          <w:tcPr>
            <w:tcW w:w="8417" w:type="dxa"/>
          </w:tcPr>
          <w:p w:rsidR="00D91323" w:rsidRPr="00F53632" w:rsidRDefault="00D91323" w:rsidP="00F53632">
            <w:pPr>
              <w:rPr>
                <w:rFonts w:ascii="Times New Roman" w:hAnsi="Times New Roman" w:cs="Times New Roman"/>
                <w:b/>
                <w:bCs/>
                <w:sz w:val="20"/>
                <w:szCs w:val="20"/>
                <w:u w:val="single"/>
              </w:rPr>
            </w:pPr>
            <w:r w:rsidRPr="00F53632">
              <w:rPr>
                <w:rFonts w:ascii="Times New Roman" w:hAnsi="Times New Roman" w:cs="Times New Roman"/>
                <w:b/>
                <w:bCs/>
                <w:sz w:val="20"/>
                <w:szCs w:val="20"/>
                <w:u w:val="single"/>
              </w:rPr>
              <w:lastRenderedPageBreak/>
              <w:t>The exact configuration of Pre-MG used for PRS measurement in Rel16</w:t>
            </w:r>
          </w:p>
          <w:p w:rsidR="00D91323" w:rsidRPr="00F53632" w:rsidRDefault="00D91323" w:rsidP="00D91323">
            <w:pPr>
              <w:pStyle w:val="a7"/>
              <w:numPr>
                <w:ilvl w:val="0"/>
                <w:numId w:val="39"/>
              </w:numPr>
              <w:overflowPunct w:val="0"/>
              <w:autoSpaceDE w:val="0"/>
              <w:autoSpaceDN w:val="0"/>
              <w:adjustRightInd w:val="0"/>
              <w:spacing w:after="180" w:line="259" w:lineRule="auto"/>
              <w:contextualSpacing w:val="0"/>
              <w:textAlignment w:val="baseline"/>
              <w:rPr>
                <w:rFonts w:eastAsiaTheme="minorEastAsia"/>
                <w:bCs/>
                <w:sz w:val="20"/>
              </w:rPr>
            </w:pPr>
            <w:r w:rsidRPr="00F53632">
              <w:rPr>
                <w:rFonts w:eastAsiaTheme="minorEastAsia"/>
                <w:bCs/>
                <w:sz w:val="20"/>
              </w:rPr>
              <w:t xml:space="preserve">Pre-MG shall be always activated, if PRS measurement in Rel16 is configured with it. </w:t>
            </w:r>
          </w:p>
          <w:p w:rsidR="00D91323" w:rsidRPr="00F53632" w:rsidRDefault="00D91323" w:rsidP="00F53632">
            <w:pPr>
              <w:pStyle w:val="a7"/>
              <w:numPr>
                <w:ilvl w:val="0"/>
                <w:numId w:val="39"/>
              </w:numPr>
              <w:overflowPunct w:val="0"/>
              <w:autoSpaceDE w:val="0"/>
              <w:autoSpaceDN w:val="0"/>
              <w:adjustRightInd w:val="0"/>
              <w:spacing w:after="180" w:line="259" w:lineRule="auto"/>
              <w:contextualSpacing w:val="0"/>
              <w:textAlignment w:val="baseline"/>
              <w:rPr>
                <w:rFonts w:eastAsiaTheme="minorEastAsia"/>
                <w:bCs/>
                <w:sz w:val="20"/>
              </w:rPr>
            </w:pPr>
            <w:r w:rsidRPr="00F53632">
              <w:rPr>
                <w:rFonts w:eastAsiaTheme="minorEastAsia"/>
                <w:bCs/>
                <w:sz w:val="20"/>
              </w:rPr>
              <w:t>FFS on whether and how should UE indicate serving cell about the PRS measurement when pre-MG is used for Rel16 PRS measurement</w:t>
            </w:r>
          </w:p>
        </w:tc>
      </w:tr>
    </w:tbl>
    <w:p w:rsidR="00F53632" w:rsidRDefault="00F53632" w:rsidP="00ED5A47">
      <w:pPr>
        <w:spacing w:before="240" w:after="240"/>
        <w:rPr>
          <w:rFonts w:ascii="Times New Roman" w:hAnsi="Times New Roman" w:cs="Times New Roman"/>
          <w:b/>
          <w:sz w:val="20"/>
          <w:szCs w:val="20"/>
        </w:rPr>
      </w:pPr>
      <w:r>
        <w:rPr>
          <w:rFonts w:ascii="Times New Roman" w:hAnsi="Times New Roman" w:cs="Times New Roman"/>
          <w:bCs/>
          <w:sz w:val="20"/>
          <w:szCs w:val="20"/>
        </w:rPr>
        <w:t xml:space="preserve">In last meeting, RAN4 agreed that Pre-MG shall be always activated for PRS measurement, and FFS on whether and how should UE indicate serving cell about the PRS measurement when pre-MG is used for Rel-16 PRS measurement. </w:t>
      </w:r>
      <w:r w:rsidR="00D6303D">
        <w:rPr>
          <w:rFonts w:ascii="Times New Roman" w:hAnsi="Times New Roman" w:cs="Times New Roman"/>
          <w:bCs/>
          <w:sz w:val="20"/>
          <w:szCs w:val="20"/>
        </w:rPr>
        <w:t xml:space="preserve">When UE is configured with PRS measurement, </w:t>
      </w:r>
      <w:r w:rsidR="000B01F7">
        <w:rPr>
          <w:rFonts w:ascii="Times New Roman" w:hAnsi="Times New Roman" w:cs="Times New Roman"/>
          <w:bCs/>
          <w:sz w:val="20"/>
          <w:szCs w:val="20"/>
        </w:rPr>
        <w:t xml:space="preserve">the </w:t>
      </w:r>
      <w:r w:rsidR="000B01F7" w:rsidRPr="005A1277">
        <w:rPr>
          <w:rFonts w:ascii="Times New Roman" w:hAnsi="Times New Roman" w:cs="Times New Roman"/>
          <w:bCs/>
          <w:i/>
          <w:sz w:val="20"/>
          <w:szCs w:val="20"/>
        </w:rPr>
        <w:t>LocationMeasurementIndication</w:t>
      </w:r>
      <w:r w:rsidR="000B01F7">
        <w:rPr>
          <w:rFonts w:ascii="Times New Roman" w:hAnsi="Times New Roman" w:cs="Times New Roman"/>
          <w:bCs/>
          <w:sz w:val="20"/>
          <w:szCs w:val="20"/>
        </w:rPr>
        <w:t xml:space="preserve"> message</w:t>
      </w:r>
      <w:r w:rsidR="00EB5AFF">
        <w:rPr>
          <w:rFonts w:ascii="Times New Roman" w:hAnsi="Times New Roman" w:cs="Times New Roman"/>
          <w:bCs/>
          <w:sz w:val="20"/>
          <w:szCs w:val="20"/>
        </w:rPr>
        <w:t xml:space="preserve"> in [2]</w:t>
      </w:r>
      <w:r w:rsidR="000B01F7">
        <w:rPr>
          <w:rFonts w:ascii="Times New Roman" w:hAnsi="Times New Roman" w:cs="Times New Roman"/>
          <w:bCs/>
          <w:sz w:val="20"/>
          <w:szCs w:val="20"/>
        </w:rPr>
        <w:t xml:space="preserve"> is used to indicate the </w:t>
      </w:r>
      <w:r w:rsidR="00D6303D">
        <w:rPr>
          <w:rFonts w:ascii="Times New Roman" w:hAnsi="Times New Roman" w:cs="Times New Roman"/>
          <w:bCs/>
          <w:sz w:val="20"/>
          <w:szCs w:val="20"/>
        </w:rPr>
        <w:t xml:space="preserve">UE </w:t>
      </w:r>
      <w:r w:rsidR="000B01F7">
        <w:rPr>
          <w:rFonts w:ascii="Times New Roman" w:hAnsi="Times New Roman" w:cs="Times New Roman"/>
          <w:bCs/>
          <w:sz w:val="20"/>
          <w:szCs w:val="20"/>
        </w:rPr>
        <w:t>is</w:t>
      </w:r>
      <w:r w:rsidR="00D6303D">
        <w:rPr>
          <w:rFonts w:ascii="Times New Roman" w:hAnsi="Times New Roman" w:cs="Times New Roman"/>
          <w:bCs/>
          <w:sz w:val="20"/>
          <w:szCs w:val="20"/>
        </w:rPr>
        <w:t xml:space="preserve"> </w:t>
      </w:r>
      <w:r w:rsidR="000B01F7">
        <w:rPr>
          <w:rFonts w:ascii="Times New Roman" w:hAnsi="Times New Roman" w:cs="Times New Roman"/>
          <w:bCs/>
          <w:sz w:val="20"/>
          <w:szCs w:val="20"/>
        </w:rPr>
        <w:t xml:space="preserve">going to either to start or </w:t>
      </w:r>
      <w:r w:rsidR="00D6303D">
        <w:rPr>
          <w:rFonts w:ascii="Times New Roman" w:hAnsi="Times New Roman" w:cs="Times New Roman"/>
          <w:bCs/>
          <w:sz w:val="20"/>
          <w:szCs w:val="20"/>
        </w:rPr>
        <w:t xml:space="preserve">stop locations </w:t>
      </w:r>
      <w:r w:rsidR="000B01F7">
        <w:rPr>
          <w:rFonts w:ascii="Times New Roman" w:hAnsi="Times New Roman" w:cs="Times New Roman"/>
          <w:bCs/>
          <w:sz w:val="20"/>
          <w:szCs w:val="20"/>
        </w:rPr>
        <w:t xml:space="preserve">related </w:t>
      </w:r>
      <w:r w:rsidR="00D6303D">
        <w:rPr>
          <w:rFonts w:ascii="Times New Roman" w:hAnsi="Times New Roman" w:cs="Times New Roman"/>
          <w:bCs/>
          <w:sz w:val="20"/>
          <w:szCs w:val="20"/>
        </w:rPr>
        <w:t>measurement</w:t>
      </w:r>
      <w:r w:rsidR="000B01F7">
        <w:rPr>
          <w:rFonts w:ascii="Times New Roman" w:hAnsi="Times New Roman" w:cs="Times New Roman"/>
          <w:bCs/>
          <w:sz w:val="20"/>
          <w:szCs w:val="20"/>
        </w:rPr>
        <w:t xml:space="preserve"> which requires measurement gaps</w:t>
      </w:r>
      <w:r w:rsidR="00D6303D">
        <w:rPr>
          <w:rFonts w:ascii="Times New Roman" w:hAnsi="Times New Roman" w:cs="Times New Roman"/>
          <w:bCs/>
          <w:sz w:val="20"/>
          <w:szCs w:val="20"/>
        </w:rPr>
        <w:t xml:space="preserve">. </w:t>
      </w:r>
      <w:r w:rsidR="00E4527F">
        <w:rPr>
          <w:rFonts w:ascii="Times New Roman" w:hAnsi="Times New Roman" w:cs="Times New Roman"/>
          <w:bCs/>
          <w:sz w:val="20"/>
          <w:szCs w:val="20"/>
        </w:rPr>
        <w:t>Thus, i</w:t>
      </w:r>
      <w:r w:rsidR="00D6303D">
        <w:rPr>
          <w:rFonts w:ascii="Times New Roman" w:hAnsi="Times New Roman" w:cs="Times New Roman"/>
          <w:bCs/>
          <w:sz w:val="20"/>
          <w:szCs w:val="20"/>
        </w:rPr>
        <w:t xml:space="preserve">t is not necessary to introduce additional signaling </w:t>
      </w:r>
      <w:r>
        <w:rPr>
          <w:rFonts w:ascii="Times New Roman" w:hAnsi="Times New Roman" w:cs="Times New Roman"/>
          <w:bCs/>
          <w:sz w:val="20"/>
          <w:szCs w:val="20"/>
        </w:rPr>
        <w:t xml:space="preserve">to indicate serving cell on the PRS measurement when it is </w:t>
      </w:r>
      <w:r w:rsidR="00D6303D">
        <w:rPr>
          <w:rFonts w:ascii="Times New Roman" w:hAnsi="Times New Roman" w:cs="Times New Roman"/>
          <w:bCs/>
          <w:sz w:val="20"/>
          <w:szCs w:val="20"/>
        </w:rPr>
        <w:t>configured with Pre-MG.</w:t>
      </w:r>
    </w:p>
    <w:p w:rsidR="00C24CDA" w:rsidRPr="00ED5A47" w:rsidRDefault="00481E68" w:rsidP="00ED5A47">
      <w:pPr>
        <w:spacing w:before="240" w:after="240"/>
        <w:rPr>
          <w:rFonts w:ascii="Times New Roman" w:hAnsi="Times New Roman" w:cs="Times New Roman"/>
          <w:b/>
          <w:sz w:val="20"/>
          <w:szCs w:val="20"/>
        </w:rPr>
      </w:pPr>
      <w:r w:rsidRPr="0038386A">
        <w:rPr>
          <w:rFonts w:ascii="Times New Roman" w:hAnsi="Times New Roman" w:cs="Times New Roman"/>
          <w:b/>
          <w:sz w:val="20"/>
          <w:szCs w:val="20"/>
        </w:rPr>
        <w:t xml:space="preserve">Proposal </w:t>
      </w:r>
      <w:r w:rsidR="0038386A" w:rsidRPr="0038386A">
        <w:rPr>
          <w:rFonts w:ascii="Times New Roman" w:hAnsi="Times New Roman" w:cs="Times New Roman"/>
          <w:b/>
          <w:sz w:val="20"/>
          <w:szCs w:val="20"/>
        </w:rPr>
        <w:t>3</w:t>
      </w:r>
      <w:r w:rsidRPr="0038386A">
        <w:rPr>
          <w:rFonts w:ascii="Times New Roman" w:hAnsi="Times New Roman" w:cs="Times New Roman"/>
          <w:b/>
          <w:sz w:val="20"/>
          <w:szCs w:val="20"/>
        </w:rPr>
        <w:t xml:space="preserve">: </w:t>
      </w:r>
      <w:r w:rsidR="00E4527F" w:rsidRPr="0038386A">
        <w:rPr>
          <w:rFonts w:ascii="Times New Roman" w:hAnsi="Times New Roman" w:cs="Times New Roman"/>
          <w:b/>
          <w:sz w:val="20"/>
          <w:szCs w:val="20"/>
        </w:rPr>
        <w:t xml:space="preserve">The </w:t>
      </w:r>
      <w:r w:rsidR="00E4527F" w:rsidRPr="0038386A">
        <w:rPr>
          <w:rFonts w:ascii="Times New Roman" w:hAnsi="Times New Roman" w:cs="Times New Roman"/>
          <w:b/>
          <w:i/>
          <w:sz w:val="20"/>
          <w:szCs w:val="20"/>
        </w:rPr>
        <w:t>LocationMeasurementIndication</w:t>
      </w:r>
      <w:r w:rsidR="00E4527F" w:rsidRPr="0038386A">
        <w:rPr>
          <w:rFonts w:ascii="Times New Roman" w:hAnsi="Times New Roman" w:cs="Times New Roman"/>
          <w:b/>
          <w:sz w:val="20"/>
          <w:szCs w:val="20"/>
        </w:rPr>
        <w:t xml:space="preserve"> message is used to</w:t>
      </w:r>
      <w:r w:rsidR="005A1277" w:rsidRPr="0038386A">
        <w:rPr>
          <w:rFonts w:ascii="Times New Roman" w:hAnsi="Times New Roman" w:cs="Times New Roman"/>
          <w:b/>
          <w:sz w:val="20"/>
          <w:szCs w:val="20"/>
        </w:rPr>
        <w:t xml:space="preserve"> indicate serving cell about the PRS measurement when pre-MG</w:t>
      </w:r>
      <w:r w:rsidR="00E4527F" w:rsidRPr="0038386A">
        <w:rPr>
          <w:rFonts w:ascii="Times New Roman" w:hAnsi="Times New Roman" w:cs="Times New Roman"/>
          <w:b/>
          <w:sz w:val="20"/>
          <w:szCs w:val="20"/>
        </w:rPr>
        <w:t xml:space="preserve"> is configured for Rel-16 PRS measurement</w:t>
      </w:r>
      <w:r w:rsidRPr="0038386A">
        <w:rPr>
          <w:rFonts w:ascii="Times New Roman" w:hAnsi="Times New Roman" w:cs="Times New Roman"/>
          <w:b/>
          <w:sz w:val="20"/>
          <w:szCs w:val="20"/>
        </w:rPr>
        <w:t>.</w:t>
      </w:r>
    </w:p>
    <w:tbl>
      <w:tblPr>
        <w:tblW w:w="830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6"/>
      </w:tblGrid>
      <w:tr w:rsidR="005479AE" w:rsidTr="005479AE">
        <w:trPr>
          <w:trHeight w:val="628"/>
        </w:trPr>
        <w:tc>
          <w:tcPr>
            <w:tcW w:w="8306" w:type="dxa"/>
          </w:tcPr>
          <w:p w:rsidR="00ED5A47" w:rsidRPr="00ED5A47" w:rsidRDefault="00ED5A47" w:rsidP="00ED5A47">
            <w:pPr>
              <w:rPr>
                <w:rFonts w:ascii="Times New Roman" w:hAnsi="Times New Roman" w:cs="Times New Roman"/>
                <w:b/>
                <w:bCs/>
                <w:sz w:val="20"/>
                <w:szCs w:val="20"/>
                <w:u w:val="single"/>
              </w:rPr>
            </w:pPr>
            <w:r w:rsidRPr="00ED5A47">
              <w:rPr>
                <w:rFonts w:ascii="Times New Roman" w:hAnsi="Times New Roman" w:cs="Times New Roman"/>
                <w:b/>
                <w:bCs/>
                <w:sz w:val="20"/>
                <w:szCs w:val="20"/>
                <w:u w:val="single"/>
              </w:rPr>
              <w:t xml:space="preserve">How to indicate the initial status (activation/deactivation) of Pre-MG at or during configuration  </w:t>
            </w:r>
          </w:p>
          <w:p w:rsidR="00ED5A47" w:rsidRPr="00ED5A47" w:rsidRDefault="00ED5A47" w:rsidP="00ED5A47">
            <w:pPr>
              <w:pStyle w:val="a7"/>
              <w:numPr>
                <w:ilvl w:val="0"/>
                <w:numId w:val="38"/>
              </w:numPr>
              <w:overflowPunct w:val="0"/>
              <w:autoSpaceDE w:val="0"/>
              <w:autoSpaceDN w:val="0"/>
              <w:adjustRightInd w:val="0"/>
              <w:spacing w:after="180" w:line="259" w:lineRule="auto"/>
              <w:contextualSpacing w:val="0"/>
              <w:textAlignment w:val="baseline"/>
              <w:rPr>
                <w:rFonts w:eastAsiaTheme="minorEastAsia"/>
                <w:bCs/>
                <w:sz w:val="20"/>
              </w:rPr>
            </w:pPr>
            <w:r w:rsidRPr="00ED5A47">
              <w:rPr>
                <w:rFonts w:eastAsiaTheme="minorEastAsia"/>
                <w:bCs/>
                <w:sz w:val="20"/>
              </w:rPr>
              <w:t xml:space="preserve">Besides the per BWP indication, no additional explicit signalling is needed to indicate the initial pre-MG activation/deactivation status at or during pre-MG being configured.  </w:t>
            </w:r>
          </w:p>
          <w:p w:rsidR="005479AE" w:rsidRPr="00ED5A47" w:rsidRDefault="00ED5A47" w:rsidP="00ED5A47">
            <w:pPr>
              <w:pStyle w:val="a7"/>
              <w:numPr>
                <w:ilvl w:val="1"/>
                <w:numId w:val="38"/>
              </w:numPr>
              <w:overflowPunct w:val="0"/>
              <w:autoSpaceDE w:val="0"/>
              <w:autoSpaceDN w:val="0"/>
              <w:adjustRightInd w:val="0"/>
              <w:spacing w:after="180" w:line="259" w:lineRule="auto"/>
              <w:contextualSpacing w:val="0"/>
              <w:textAlignment w:val="baseline"/>
              <w:rPr>
                <w:rFonts w:eastAsiaTheme="minorEastAsia"/>
                <w:bCs/>
                <w:sz w:val="20"/>
              </w:rPr>
            </w:pPr>
            <w:r w:rsidRPr="00ED5A47">
              <w:rPr>
                <w:rFonts w:eastAsiaTheme="minorEastAsia"/>
                <w:bCs/>
                <w:sz w:val="20"/>
              </w:rPr>
              <w:t>FFS on initial status (activation/deactivation) of Pre-MG is determined based on the same rules used for autonomous activation/deactivation of Pre-MG.</w:t>
            </w:r>
            <w:r w:rsidR="000F5A44" w:rsidRPr="00ED5A47">
              <w:rPr>
                <w:bCs/>
                <w:sz w:val="20"/>
                <w:szCs w:val="20"/>
              </w:rPr>
              <w:t xml:space="preserve"> </w:t>
            </w:r>
          </w:p>
        </w:tc>
      </w:tr>
    </w:tbl>
    <w:p w:rsidR="00ED5A47" w:rsidRDefault="004D1073"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initial status of Pre-MG, </w:t>
      </w:r>
      <w:r w:rsidR="00A570A6">
        <w:rPr>
          <w:rFonts w:ascii="Times New Roman" w:hAnsi="Times New Roman" w:cs="Times New Roman"/>
          <w:sz w:val="20"/>
          <w:szCs w:val="20"/>
        </w:rPr>
        <w:t>it was agreed that no additional explicit signaling is needed to indicate the initial pre-MG activation/deactivation status, it can be determined by the implicit rules which is used for autonomous activation/deactivation of pre-MG.</w:t>
      </w:r>
      <w:r>
        <w:rPr>
          <w:rFonts w:ascii="Times New Roman" w:hAnsi="Times New Roman" w:cs="Times New Roman"/>
          <w:sz w:val="20"/>
          <w:szCs w:val="20"/>
        </w:rPr>
        <w:t xml:space="preserve"> </w:t>
      </w:r>
    </w:p>
    <w:p w:rsidR="00A570A6" w:rsidRPr="008D46A9" w:rsidRDefault="00A570A6" w:rsidP="00A570A6">
      <w:pPr>
        <w:spacing w:before="240"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sidR="0038386A" w:rsidRPr="0038386A">
        <w:rPr>
          <w:rFonts w:ascii="Times New Roman" w:hAnsi="Times New Roman" w:cs="Times New Roman"/>
          <w:b/>
          <w:sz w:val="20"/>
          <w:szCs w:val="20"/>
        </w:rPr>
        <w:t>roposal 4</w:t>
      </w:r>
      <w:r w:rsidRPr="0038386A">
        <w:rPr>
          <w:rFonts w:ascii="Times New Roman" w:hAnsi="Times New Roman" w:cs="Times New Roman"/>
          <w:b/>
          <w:sz w:val="20"/>
          <w:szCs w:val="20"/>
        </w:rPr>
        <w:t xml:space="preserve">: The </w:t>
      </w:r>
      <w:r w:rsidRPr="0038386A">
        <w:rPr>
          <w:rFonts w:ascii="Times New Roman" w:hAnsi="Times New Roman" w:cs="Times New Roman"/>
          <w:b/>
          <w:bCs/>
          <w:sz w:val="20"/>
          <w:szCs w:val="20"/>
        </w:rPr>
        <w:t>initial status (activation/deactivation) of Pre-MG is determined based on the same rules used for autonomous activation/deactivation of Pre-MG.</w:t>
      </w:r>
    </w:p>
    <w:p w:rsidR="00230816" w:rsidRPr="00DB4A0B" w:rsidRDefault="00A911B9" w:rsidP="00DB4A0B">
      <w:pPr>
        <w:rPr>
          <w:rFonts w:ascii="Times New Roman" w:hAnsi="Times New Roman" w:cs="Times New Roman"/>
          <w:sz w:val="20"/>
          <w:szCs w:val="20"/>
          <w:u w:val="single"/>
        </w:rPr>
      </w:pPr>
      <w:r w:rsidRPr="00A911B9">
        <w:rPr>
          <w:rFonts w:ascii="Times New Roman" w:hAnsi="Times New Roman" w:cs="Times New Roman"/>
          <w:b/>
          <w:bCs/>
          <w:sz w:val="20"/>
          <w:szCs w:val="20"/>
          <w:u w:val="single"/>
        </w:rPr>
        <w:t>Activation/Deactivation procedures</w:t>
      </w:r>
    </w:p>
    <w:tbl>
      <w:tblPr>
        <w:tblW w:w="830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1"/>
      </w:tblGrid>
      <w:tr w:rsidR="00E4527F" w:rsidTr="00E4527F">
        <w:trPr>
          <w:trHeight w:val="593"/>
        </w:trPr>
        <w:tc>
          <w:tcPr>
            <w:tcW w:w="8301" w:type="dxa"/>
          </w:tcPr>
          <w:p w:rsidR="00E4527F" w:rsidRPr="00E4527F" w:rsidRDefault="00E4527F" w:rsidP="00E4527F">
            <w:pPr>
              <w:rPr>
                <w:rFonts w:ascii="Times New Roman" w:hAnsi="Times New Roman" w:cs="Times New Roman"/>
                <w:b/>
                <w:bCs/>
                <w:sz w:val="20"/>
                <w:szCs w:val="20"/>
                <w:u w:val="single"/>
              </w:rPr>
            </w:pPr>
            <w:r w:rsidRPr="00E4527F">
              <w:rPr>
                <w:rFonts w:ascii="Times New Roman" w:hAnsi="Times New Roman" w:cs="Times New Roman"/>
                <w:b/>
                <w:bCs/>
                <w:sz w:val="20"/>
                <w:szCs w:val="20"/>
                <w:u w:val="single"/>
              </w:rPr>
              <w:t>The additional transition time for Activation/Deactivation Delay</w:t>
            </w:r>
            <w:r w:rsidRPr="00E4527F">
              <w:rPr>
                <w:rFonts w:ascii="Times New Roman" w:hAnsi="Times New Roman" w:cs="Times New Roman" w:hint="eastAsia"/>
                <w:b/>
                <w:bCs/>
                <w:sz w:val="20"/>
                <w:szCs w:val="20"/>
                <w:u w:val="single"/>
              </w:rPr>
              <w:t xml:space="preserve"> </w:t>
            </w:r>
          </w:p>
          <w:p w:rsidR="00E4527F" w:rsidRPr="00E4527F" w:rsidRDefault="00E4527F" w:rsidP="00E4527F">
            <w:pPr>
              <w:jc w:val="left"/>
              <w:rPr>
                <w:rFonts w:ascii="Times New Roman" w:hAnsi="Times New Roman" w:cs="Times New Roman"/>
                <w:bCs/>
                <w:sz w:val="20"/>
                <w:szCs w:val="20"/>
              </w:rPr>
            </w:pPr>
            <w:r w:rsidRPr="00E4527F">
              <w:rPr>
                <w:rFonts w:ascii="Times New Roman" w:hAnsi="Times New Roman" w:cs="Times New Roman"/>
                <w:bCs/>
                <w:sz w:val="20"/>
                <w:szCs w:val="20"/>
              </w:rPr>
              <w:t>Can be FFS and decided in the next meeting:</w:t>
            </w:r>
          </w:p>
          <w:p w:rsidR="00E4527F" w:rsidRPr="00E4527F" w:rsidRDefault="00E4527F" w:rsidP="00607DAB">
            <w:pPr>
              <w:widowControl/>
              <w:numPr>
                <w:ilvl w:val="0"/>
                <w:numId w:val="33"/>
              </w:numPr>
              <w:overflowPunct w:val="0"/>
              <w:autoSpaceDE w:val="0"/>
              <w:autoSpaceDN w:val="0"/>
              <w:adjustRightInd w:val="0"/>
              <w:spacing w:line="259" w:lineRule="auto"/>
              <w:jc w:val="left"/>
              <w:textAlignment w:val="baseline"/>
              <w:rPr>
                <w:rFonts w:ascii="Times New Roman" w:hAnsi="Times New Roman" w:cs="Times New Roman"/>
                <w:bCs/>
                <w:sz w:val="20"/>
                <w:szCs w:val="20"/>
              </w:rPr>
            </w:pPr>
            <w:r w:rsidRPr="00E4527F">
              <w:rPr>
                <w:rFonts w:ascii="Times New Roman" w:hAnsi="Times New Roman" w:cs="Times New Roman"/>
                <w:bCs/>
                <w:sz w:val="20"/>
                <w:szCs w:val="20"/>
              </w:rPr>
              <w:t xml:space="preserve">Option 1: 5ms </w:t>
            </w:r>
          </w:p>
          <w:p w:rsidR="00E4527F" w:rsidRPr="00E4527F" w:rsidRDefault="00E4527F" w:rsidP="00607DAB">
            <w:pPr>
              <w:widowControl/>
              <w:numPr>
                <w:ilvl w:val="0"/>
                <w:numId w:val="33"/>
              </w:numPr>
              <w:overflowPunct w:val="0"/>
              <w:autoSpaceDE w:val="0"/>
              <w:autoSpaceDN w:val="0"/>
              <w:adjustRightInd w:val="0"/>
              <w:jc w:val="left"/>
              <w:textAlignment w:val="baseline"/>
              <w:rPr>
                <w:rFonts w:ascii="Times New Roman" w:hAnsi="Times New Roman" w:cs="Times New Roman"/>
                <w:bCs/>
                <w:sz w:val="20"/>
                <w:szCs w:val="20"/>
              </w:rPr>
            </w:pPr>
            <w:r w:rsidRPr="00E4527F">
              <w:rPr>
                <w:rFonts w:ascii="Times New Roman" w:hAnsi="Times New Roman" w:cs="Times New Roman"/>
                <w:bCs/>
                <w:sz w:val="20"/>
                <w:szCs w:val="20"/>
              </w:rPr>
              <w:t>Option 2 :</w:t>
            </w:r>
            <w:r w:rsidRPr="00E4527F">
              <w:rPr>
                <w:rFonts w:ascii="Times New Roman" w:hAnsi="Times New Roman" w:cs="Times New Roman"/>
                <w:bCs/>
                <w:sz w:val="20"/>
                <w:szCs w:val="20"/>
              </w:rPr>
              <w:sym w:font="Symbol" w:char="F044"/>
            </w:r>
            <w:r w:rsidRPr="00E4527F">
              <w:rPr>
                <w:rFonts w:ascii="Times New Roman" w:hAnsi="Times New Roman" w:cs="Times New Roman"/>
                <w:bCs/>
                <w:sz w:val="20"/>
                <w:szCs w:val="20"/>
              </w:rPr>
              <w:t>T=10ms – BWP switch delay</w:t>
            </w:r>
          </w:p>
        </w:tc>
      </w:tr>
    </w:tbl>
    <w:p w:rsidR="00E4527F" w:rsidRDefault="009B2B37"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the pre-MG activation/deactivation delay, since UE need to apply the configured parameters related to the pre-MG which is similar to the RRC reconfiguration processing procedure. It is reasonable to assume the pre-MG activation/deactivation delay can be the RRC reconfiguration processing delay, thus, the additional transition time is RRC reconfiguration processing time minus the BWP switching delay.</w:t>
      </w:r>
    </w:p>
    <w:p w:rsidR="00D30D73" w:rsidRPr="003B0DEC" w:rsidRDefault="0038386A" w:rsidP="003B0DEC">
      <w:pPr>
        <w:spacing w:before="240" w:after="240"/>
        <w:rPr>
          <w:rFonts w:ascii="Times New Roman" w:hAnsi="Times New Roman" w:cs="Times New Roman"/>
          <w:b/>
          <w:sz w:val="20"/>
          <w:szCs w:val="20"/>
        </w:rPr>
      </w:pPr>
      <w:r w:rsidRPr="0038386A">
        <w:rPr>
          <w:rFonts w:ascii="Times New Roman" w:hAnsi="Times New Roman" w:cs="Times New Roman"/>
          <w:b/>
          <w:sz w:val="20"/>
          <w:szCs w:val="20"/>
        </w:rPr>
        <w:t>Proposal 5</w:t>
      </w:r>
      <w:r w:rsidR="009B2B37" w:rsidRPr="0038386A">
        <w:rPr>
          <w:rFonts w:ascii="Times New Roman" w:hAnsi="Times New Roman" w:cs="Times New Roman"/>
          <w:b/>
          <w:sz w:val="20"/>
          <w:szCs w:val="20"/>
        </w:rPr>
        <w:t xml:space="preserve">: The additional transition time for Pre-MG activation/deactivation delay is defined as </w:t>
      </w:r>
      <w:r w:rsidR="009B2B37" w:rsidRPr="0038386A">
        <w:rPr>
          <w:rFonts w:ascii="Times New Roman" w:hAnsi="Times New Roman" w:cs="Times New Roman"/>
          <w:b/>
          <w:sz w:val="20"/>
          <w:szCs w:val="20"/>
        </w:rPr>
        <w:sym w:font="Symbol" w:char="F044"/>
      </w:r>
      <w:r w:rsidR="009B2B37" w:rsidRPr="0038386A">
        <w:rPr>
          <w:rFonts w:ascii="Times New Roman" w:hAnsi="Times New Roman" w:cs="Times New Roman"/>
          <w:b/>
          <w:sz w:val="20"/>
          <w:szCs w:val="20"/>
        </w:rPr>
        <w:t>T = 10ms – BWP switch delay.</w:t>
      </w:r>
      <w:r w:rsidR="009B2B37" w:rsidRPr="009B2B37">
        <w:rPr>
          <w:rFonts w:ascii="Times New Roman" w:hAnsi="Times New Roman" w:cs="Times New Roman"/>
          <w:b/>
          <w:sz w:val="20"/>
          <w:szCs w:val="20"/>
        </w:rPr>
        <w:t xml:space="preserve"> </w:t>
      </w:r>
    </w:p>
    <w:tbl>
      <w:tblPr>
        <w:tblW w:w="83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6"/>
      </w:tblGrid>
      <w:tr w:rsidR="00D30D73" w:rsidTr="00D30D73">
        <w:trPr>
          <w:trHeight w:val="678"/>
        </w:trPr>
        <w:tc>
          <w:tcPr>
            <w:tcW w:w="8386" w:type="dxa"/>
          </w:tcPr>
          <w:p w:rsidR="00D30D73" w:rsidRPr="00D30D73" w:rsidRDefault="00D30D73" w:rsidP="00D30D73">
            <w:pPr>
              <w:rPr>
                <w:rFonts w:ascii="Times New Roman" w:hAnsi="Times New Roman" w:cs="Times New Roman"/>
                <w:b/>
                <w:bCs/>
                <w:sz w:val="20"/>
                <w:szCs w:val="20"/>
                <w:u w:val="single"/>
              </w:rPr>
            </w:pPr>
            <w:r w:rsidRPr="00D30D73">
              <w:rPr>
                <w:rFonts w:ascii="Times New Roman" w:hAnsi="Times New Roman" w:cs="Times New Roman"/>
                <w:b/>
                <w:bCs/>
                <w:sz w:val="20"/>
                <w:szCs w:val="20"/>
                <w:u w:val="single"/>
              </w:rPr>
              <w:lastRenderedPageBreak/>
              <w:t>Start point of Activation/Deactivation Delay</w:t>
            </w:r>
            <w:r w:rsidRPr="00D30D73">
              <w:rPr>
                <w:rFonts w:ascii="Times New Roman" w:hAnsi="Times New Roman" w:cs="Times New Roman" w:hint="eastAsia"/>
                <w:b/>
                <w:bCs/>
                <w:sz w:val="20"/>
                <w:szCs w:val="20"/>
                <w:u w:val="single"/>
              </w:rPr>
              <w:t xml:space="preserve"> </w:t>
            </w:r>
          </w:p>
          <w:p w:rsidR="00D30D73" w:rsidRPr="00D30D73" w:rsidRDefault="00D30D73" w:rsidP="00D30D73">
            <w:pPr>
              <w:pStyle w:val="a7"/>
              <w:numPr>
                <w:ilvl w:val="0"/>
                <w:numId w:val="40"/>
              </w:numPr>
              <w:overflowPunct w:val="0"/>
              <w:autoSpaceDE w:val="0"/>
              <w:autoSpaceDN w:val="0"/>
              <w:adjustRightInd w:val="0"/>
              <w:spacing w:after="180" w:line="259" w:lineRule="auto"/>
              <w:contextualSpacing w:val="0"/>
              <w:textAlignment w:val="baseline"/>
              <w:rPr>
                <w:rFonts w:eastAsiaTheme="minorEastAsia"/>
                <w:bCs/>
                <w:kern w:val="2"/>
                <w:sz w:val="20"/>
                <w:szCs w:val="20"/>
                <w:lang w:eastAsia="zh-CN"/>
              </w:rPr>
            </w:pPr>
            <w:r w:rsidRPr="00D30D73">
              <w:rPr>
                <w:rFonts w:eastAsiaTheme="minorEastAsia"/>
                <w:bCs/>
                <w:kern w:val="2"/>
                <w:sz w:val="20"/>
                <w:szCs w:val="20"/>
                <w:lang w:eastAsia="zh-CN"/>
              </w:rPr>
              <w:t xml:space="preserve">The pre-MG activation/deactivation delay starts from the time when received BWP switch request if the pre-MG activation/deactivation is triggered by BWP switching. </w:t>
            </w:r>
          </w:p>
          <w:p w:rsidR="00D30D73" w:rsidRPr="00D30D73" w:rsidRDefault="00D30D73" w:rsidP="00D30D73">
            <w:pPr>
              <w:pStyle w:val="a7"/>
              <w:numPr>
                <w:ilvl w:val="0"/>
                <w:numId w:val="40"/>
              </w:numPr>
              <w:overflowPunct w:val="0"/>
              <w:autoSpaceDE w:val="0"/>
              <w:autoSpaceDN w:val="0"/>
              <w:adjustRightInd w:val="0"/>
              <w:spacing w:after="180" w:line="259" w:lineRule="auto"/>
              <w:contextualSpacing w:val="0"/>
              <w:textAlignment w:val="baseline"/>
              <w:rPr>
                <w:rFonts w:eastAsiaTheme="minorEastAsia"/>
                <w:bCs/>
                <w:kern w:val="2"/>
                <w:sz w:val="20"/>
                <w:szCs w:val="20"/>
                <w:lang w:eastAsia="zh-CN"/>
              </w:rPr>
            </w:pPr>
            <w:r w:rsidRPr="00D30D73">
              <w:rPr>
                <w:rFonts w:eastAsiaTheme="minorEastAsia"/>
                <w:bCs/>
                <w:kern w:val="2"/>
                <w:sz w:val="20"/>
                <w:szCs w:val="20"/>
                <w:lang w:eastAsia="zh-CN"/>
              </w:rPr>
              <w:t>FFS when the pre-MG activation/deactivation takes effect on measurement after the activation/deactivation delay.</w:t>
            </w:r>
          </w:p>
        </w:tc>
      </w:tr>
    </w:tbl>
    <w:p w:rsidR="003B0DEC" w:rsidRDefault="003B0DEC" w:rsidP="00F03B5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meeting, it was agreed that the pre-MG activation/deactivation starts from the time when UE is received BWP switch request, and FFS on when the pre-MG activation/deactivation takes effect on measurement after the activation/deactivation delay.</w:t>
      </w:r>
      <w:r w:rsidR="00EA5D12">
        <w:rPr>
          <w:rFonts w:ascii="Times New Roman" w:hAnsi="Times New Roman" w:cs="Times New Roman"/>
          <w:sz w:val="20"/>
          <w:szCs w:val="20"/>
        </w:rPr>
        <w:t xml:space="preserve"> </w:t>
      </w:r>
      <w:r w:rsidR="00F73520">
        <w:rPr>
          <w:rFonts w:ascii="Times New Roman" w:hAnsi="Times New Roman" w:cs="Times New Roman"/>
          <w:sz w:val="20"/>
          <w:szCs w:val="20"/>
        </w:rPr>
        <w:t>Since the activation/deactivation delay equals to BWP switching delay plus the additional transition time (</w:t>
      </w:r>
      <w:r w:rsidR="00F73520" w:rsidRPr="001B3281">
        <w:rPr>
          <w:rFonts w:ascii="Times New Roman" w:hAnsi="Times New Roman" w:cs="Times New Roman"/>
          <w:bCs/>
          <w:sz w:val="20"/>
          <w:szCs w:val="20"/>
        </w:rPr>
        <w:sym w:font="Symbol" w:char="F044"/>
      </w:r>
      <w:r w:rsidR="00F73520" w:rsidRPr="001B3281">
        <w:rPr>
          <w:rFonts w:ascii="Times New Roman" w:hAnsi="Times New Roman" w:cs="Times New Roman"/>
          <w:bCs/>
          <w:sz w:val="20"/>
          <w:szCs w:val="20"/>
        </w:rPr>
        <w:t>T</w:t>
      </w:r>
      <w:r w:rsidR="00F73520">
        <w:rPr>
          <w:rFonts w:ascii="Times New Roman" w:hAnsi="Times New Roman" w:cs="Times New Roman"/>
          <w:sz w:val="20"/>
          <w:szCs w:val="20"/>
        </w:rPr>
        <w:t>), thus, the pre-MG activation/deactivation should take effect on measurement after the pre-MG activation/deactivation delay.</w:t>
      </w:r>
    </w:p>
    <w:p w:rsidR="00F73520" w:rsidRPr="00F73520" w:rsidRDefault="0038386A" w:rsidP="00F73520">
      <w:pPr>
        <w:spacing w:before="240" w:after="240"/>
        <w:rPr>
          <w:rFonts w:ascii="Times New Roman" w:hAnsi="Times New Roman" w:cs="Times New Roman"/>
          <w:b/>
          <w:sz w:val="20"/>
          <w:szCs w:val="20"/>
        </w:rPr>
      </w:pPr>
      <w:r w:rsidRPr="0038386A">
        <w:rPr>
          <w:rFonts w:ascii="Times New Roman" w:hAnsi="Times New Roman" w:cs="Times New Roman"/>
          <w:b/>
          <w:sz w:val="20"/>
          <w:szCs w:val="20"/>
        </w:rPr>
        <w:t>Proposal 6</w:t>
      </w:r>
      <w:r w:rsidR="00F73520" w:rsidRPr="0038386A">
        <w:rPr>
          <w:rFonts w:ascii="Times New Roman" w:hAnsi="Times New Roman" w:cs="Times New Roman"/>
          <w:b/>
          <w:sz w:val="20"/>
          <w:szCs w:val="20"/>
        </w:rPr>
        <w:t>: The pre-MG activation/deactivation takes effect on measurement after the pre-MG activation/deactivation delay.</w:t>
      </w:r>
    </w:p>
    <w:p w:rsidR="00B12D1E" w:rsidRPr="00B12D1E" w:rsidRDefault="002323B2" w:rsidP="00F03B58">
      <w:pPr>
        <w:rPr>
          <w:rFonts w:ascii="Times New Roman" w:hAnsi="Times New Roman" w:cs="Times New Roman"/>
          <w:b/>
          <w:bCs/>
          <w:sz w:val="20"/>
          <w:szCs w:val="20"/>
          <w:u w:val="single"/>
        </w:rPr>
      </w:pPr>
      <w:r w:rsidRPr="00A911B9">
        <w:rPr>
          <w:rFonts w:ascii="Times New Roman" w:hAnsi="Times New Roman" w:cs="Times New Roman"/>
          <w:b/>
          <w:bCs/>
          <w:sz w:val="20"/>
          <w:szCs w:val="20"/>
          <w:u w:val="single"/>
        </w:rPr>
        <w:t>RRM requirements with Pre-configured MGs</w:t>
      </w:r>
    </w:p>
    <w:tbl>
      <w:tblPr>
        <w:tblW w:w="8382"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2"/>
      </w:tblGrid>
      <w:tr w:rsidR="00B12D1E" w:rsidTr="00B12D1E">
        <w:trPr>
          <w:trHeight w:val="882"/>
        </w:trPr>
        <w:tc>
          <w:tcPr>
            <w:tcW w:w="8382" w:type="dxa"/>
          </w:tcPr>
          <w:p w:rsidR="00B004E6" w:rsidRPr="00B004E6" w:rsidRDefault="00B004E6" w:rsidP="00B004E6">
            <w:pPr>
              <w:rPr>
                <w:rFonts w:ascii="Times New Roman" w:hAnsi="Times New Roman" w:cs="Times New Roman"/>
                <w:b/>
                <w:bCs/>
                <w:sz w:val="20"/>
                <w:szCs w:val="20"/>
                <w:u w:val="single"/>
              </w:rPr>
            </w:pPr>
            <w:r w:rsidRPr="00B004E6">
              <w:rPr>
                <w:rFonts w:ascii="Times New Roman" w:hAnsi="Times New Roman" w:cs="Times New Roman"/>
                <w:b/>
                <w:bCs/>
                <w:sz w:val="20"/>
                <w:szCs w:val="20"/>
                <w:u w:val="single"/>
              </w:rPr>
              <w:t>The start point of measurement report period</w:t>
            </w:r>
            <w:r w:rsidRPr="00B004E6">
              <w:rPr>
                <w:rFonts w:ascii="Times New Roman" w:hAnsi="Times New Roman" w:cs="Times New Roman" w:hint="eastAsia"/>
                <w:b/>
                <w:bCs/>
                <w:sz w:val="20"/>
                <w:szCs w:val="20"/>
                <w:u w:val="single"/>
              </w:rPr>
              <w:t xml:space="preserve"> </w:t>
            </w:r>
          </w:p>
          <w:p w:rsidR="00B004E6" w:rsidRPr="00B004E6" w:rsidRDefault="00B004E6" w:rsidP="00B004E6">
            <w:pPr>
              <w:pStyle w:val="a7"/>
              <w:numPr>
                <w:ilvl w:val="0"/>
                <w:numId w:val="21"/>
              </w:numPr>
              <w:overflowPunct w:val="0"/>
              <w:autoSpaceDE w:val="0"/>
              <w:autoSpaceDN w:val="0"/>
              <w:adjustRightInd w:val="0"/>
              <w:spacing w:line="259" w:lineRule="auto"/>
              <w:contextualSpacing w:val="0"/>
              <w:textAlignment w:val="baseline"/>
              <w:rPr>
                <w:rFonts w:eastAsiaTheme="minorEastAsia"/>
                <w:bCs/>
                <w:kern w:val="2"/>
                <w:sz w:val="20"/>
                <w:szCs w:val="20"/>
                <w:lang w:eastAsia="zh-CN"/>
              </w:rPr>
            </w:pPr>
            <w:r w:rsidRPr="00B004E6">
              <w:rPr>
                <w:rFonts w:eastAsiaTheme="minorEastAsia"/>
                <w:bCs/>
                <w:kern w:val="2"/>
                <w:sz w:val="20"/>
                <w:szCs w:val="20"/>
                <w:lang w:eastAsia="zh-CN"/>
              </w:rPr>
              <w:t xml:space="preserve">FFS the start </w:t>
            </w:r>
            <w:r w:rsidR="00DA1EA1">
              <w:rPr>
                <w:rFonts w:eastAsiaTheme="minorEastAsia"/>
                <w:bCs/>
                <w:kern w:val="2"/>
                <w:sz w:val="20"/>
                <w:szCs w:val="20"/>
                <w:lang w:eastAsia="zh-CN"/>
              </w:rPr>
              <w:t>point</w:t>
            </w:r>
            <w:r w:rsidRPr="00B004E6">
              <w:rPr>
                <w:rFonts w:eastAsiaTheme="minorEastAsia"/>
                <w:bCs/>
                <w:kern w:val="2"/>
                <w:sz w:val="20"/>
                <w:szCs w:val="20"/>
                <w:lang w:eastAsia="zh-CN"/>
              </w:rPr>
              <w:t xml:space="preserve"> of measurement report period</w:t>
            </w:r>
          </w:p>
          <w:p w:rsidR="00B004E6" w:rsidRPr="00B004E6" w:rsidRDefault="00B004E6" w:rsidP="00B004E6">
            <w:pPr>
              <w:pStyle w:val="a7"/>
              <w:numPr>
                <w:ilvl w:val="0"/>
                <w:numId w:val="21"/>
              </w:numPr>
              <w:overflowPunct w:val="0"/>
              <w:autoSpaceDE w:val="0"/>
              <w:autoSpaceDN w:val="0"/>
              <w:adjustRightInd w:val="0"/>
              <w:spacing w:line="259" w:lineRule="auto"/>
              <w:contextualSpacing w:val="0"/>
              <w:textAlignment w:val="baseline"/>
              <w:rPr>
                <w:rFonts w:eastAsiaTheme="minorEastAsia"/>
                <w:bCs/>
                <w:kern w:val="2"/>
                <w:sz w:val="20"/>
                <w:szCs w:val="20"/>
                <w:lang w:eastAsia="zh-CN"/>
              </w:rPr>
            </w:pPr>
            <w:r w:rsidRPr="00B004E6">
              <w:rPr>
                <w:rFonts w:eastAsiaTheme="minorEastAsia"/>
                <w:bCs/>
                <w:kern w:val="2"/>
                <w:sz w:val="20"/>
                <w:szCs w:val="20"/>
                <w:lang w:eastAsia="zh-CN"/>
              </w:rPr>
              <w:t>FFS whether UE shall continue the ongoing measurement when pre-MG status changed</w:t>
            </w:r>
          </w:p>
          <w:p w:rsidR="00B004E6" w:rsidRDefault="00B004E6" w:rsidP="00B004E6">
            <w:pPr>
              <w:rPr>
                <w:b/>
                <w:bCs/>
                <w:sz w:val="22"/>
                <w:szCs w:val="16"/>
                <w:u w:val="single"/>
              </w:rPr>
            </w:pPr>
            <w:r w:rsidRPr="00B004E6">
              <w:rPr>
                <w:rFonts w:ascii="Times New Roman" w:hAnsi="Times New Roman" w:cs="Times New Roman"/>
                <w:b/>
                <w:bCs/>
                <w:sz w:val="20"/>
                <w:szCs w:val="20"/>
                <w:u w:val="single"/>
              </w:rPr>
              <w:t>The components included in measurement report period</w:t>
            </w:r>
          </w:p>
          <w:p w:rsidR="00B004E6" w:rsidRPr="00B004E6" w:rsidRDefault="00B004E6" w:rsidP="00B004E6">
            <w:pPr>
              <w:rPr>
                <w:rFonts w:ascii="Times New Roman" w:hAnsi="Times New Roman" w:cs="Times New Roman"/>
                <w:bCs/>
                <w:sz w:val="20"/>
                <w:szCs w:val="20"/>
              </w:rPr>
            </w:pPr>
            <w:r w:rsidRPr="00B004E6">
              <w:rPr>
                <w:rFonts w:ascii="Times New Roman" w:hAnsi="Times New Roman" w:cs="Times New Roman"/>
                <w:bCs/>
                <w:sz w:val="20"/>
                <w:szCs w:val="20"/>
              </w:rPr>
              <w:t>Can be FFS on in the next meeting:</w:t>
            </w:r>
          </w:p>
          <w:p w:rsidR="00B004E6" w:rsidRPr="00B004E6" w:rsidRDefault="00B004E6" w:rsidP="00B004E6">
            <w:pPr>
              <w:pStyle w:val="a7"/>
              <w:numPr>
                <w:ilvl w:val="0"/>
                <w:numId w:val="21"/>
              </w:numPr>
              <w:overflowPunct w:val="0"/>
              <w:autoSpaceDE w:val="0"/>
              <w:autoSpaceDN w:val="0"/>
              <w:adjustRightInd w:val="0"/>
              <w:spacing w:line="259" w:lineRule="auto"/>
              <w:contextualSpacing w:val="0"/>
              <w:textAlignment w:val="baseline"/>
              <w:rPr>
                <w:rFonts w:eastAsiaTheme="minorEastAsia"/>
                <w:bCs/>
                <w:kern w:val="2"/>
                <w:sz w:val="20"/>
                <w:szCs w:val="20"/>
                <w:lang w:eastAsia="zh-CN"/>
              </w:rPr>
            </w:pPr>
            <w:r w:rsidRPr="00B004E6">
              <w:rPr>
                <w:rFonts w:eastAsiaTheme="minorEastAsia"/>
                <w:bCs/>
                <w:kern w:val="2"/>
                <w:sz w:val="20"/>
                <w:szCs w:val="20"/>
                <w:lang w:eastAsia="zh-CN"/>
              </w:rPr>
              <w:t xml:space="preserve">Intra-frequency measurement requirement in 38.133 per sample </w:t>
            </w:r>
          </w:p>
          <w:p w:rsidR="00B004E6" w:rsidRPr="00B004E6" w:rsidRDefault="00B004E6" w:rsidP="00B004E6">
            <w:pPr>
              <w:pStyle w:val="a7"/>
              <w:numPr>
                <w:ilvl w:val="0"/>
                <w:numId w:val="21"/>
              </w:numPr>
              <w:overflowPunct w:val="0"/>
              <w:autoSpaceDE w:val="0"/>
              <w:autoSpaceDN w:val="0"/>
              <w:adjustRightInd w:val="0"/>
              <w:spacing w:line="259" w:lineRule="auto"/>
              <w:contextualSpacing w:val="0"/>
              <w:textAlignment w:val="baseline"/>
              <w:rPr>
                <w:rFonts w:eastAsiaTheme="minorEastAsia"/>
                <w:bCs/>
                <w:kern w:val="2"/>
                <w:sz w:val="20"/>
                <w:szCs w:val="20"/>
                <w:lang w:eastAsia="zh-CN"/>
              </w:rPr>
            </w:pPr>
            <w:r w:rsidRPr="00B004E6">
              <w:rPr>
                <w:rFonts w:eastAsiaTheme="minorEastAsia"/>
                <w:bCs/>
                <w:kern w:val="2"/>
                <w:sz w:val="20"/>
                <w:szCs w:val="20"/>
                <w:lang w:eastAsia="zh-CN"/>
              </w:rPr>
              <w:t xml:space="preserve">Inter-frequency measurement requirement in 38.133 per sample </w:t>
            </w:r>
          </w:p>
          <w:p w:rsidR="00B004E6" w:rsidRPr="00B004E6" w:rsidRDefault="00B004E6" w:rsidP="00B004E6">
            <w:pPr>
              <w:pStyle w:val="a7"/>
              <w:numPr>
                <w:ilvl w:val="0"/>
                <w:numId w:val="21"/>
              </w:numPr>
              <w:overflowPunct w:val="0"/>
              <w:autoSpaceDE w:val="0"/>
              <w:autoSpaceDN w:val="0"/>
              <w:adjustRightInd w:val="0"/>
              <w:spacing w:line="259" w:lineRule="auto"/>
              <w:contextualSpacing w:val="0"/>
              <w:textAlignment w:val="baseline"/>
              <w:rPr>
                <w:rFonts w:eastAsiaTheme="minorEastAsia"/>
                <w:bCs/>
                <w:kern w:val="2"/>
                <w:sz w:val="20"/>
                <w:szCs w:val="20"/>
                <w:lang w:eastAsia="zh-CN"/>
              </w:rPr>
            </w:pPr>
            <w:r w:rsidRPr="00B004E6">
              <w:rPr>
                <w:rFonts w:eastAsiaTheme="minorEastAsia"/>
                <w:bCs/>
                <w:kern w:val="2"/>
                <w:sz w:val="20"/>
                <w:szCs w:val="20"/>
                <w:lang w:eastAsia="zh-CN"/>
              </w:rPr>
              <w:t>Transition time between the activated pre-MG and deactivated MG</w:t>
            </w:r>
          </w:p>
          <w:p w:rsidR="00B004E6" w:rsidRPr="00B004E6" w:rsidRDefault="00B004E6" w:rsidP="00B004E6">
            <w:pPr>
              <w:pStyle w:val="a7"/>
              <w:numPr>
                <w:ilvl w:val="0"/>
                <w:numId w:val="21"/>
              </w:numPr>
              <w:overflowPunct w:val="0"/>
              <w:autoSpaceDE w:val="0"/>
              <w:autoSpaceDN w:val="0"/>
              <w:adjustRightInd w:val="0"/>
              <w:spacing w:line="259" w:lineRule="auto"/>
              <w:contextualSpacing w:val="0"/>
              <w:textAlignment w:val="baseline"/>
              <w:rPr>
                <w:rFonts w:eastAsiaTheme="minorEastAsia"/>
                <w:bCs/>
                <w:kern w:val="2"/>
                <w:sz w:val="20"/>
                <w:szCs w:val="20"/>
                <w:lang w:eastAsia="zh-CN"/>
              </w:rPr>
            </w:pPr>
            <w:r w:rsidRPr="00B004E6">
              <w:rPr>
                <w:rFonts w:eastAsiaTheme="minorEastAsia"/>
                <w:bCs/>
                <w:kern w:val="2"/>
                <w:sz w:val="20"/>
                <w:szCs w:val="20"/>
                <w:lang w:eastAsia="zh-CN"/>
              </w:rPr>
              <w:t>BWP switching</w:t>
            </w:r>
          </w:p>
          <w:p w:rsidR="00B12D1E" w:rsidRPr="00B004E6" w:rsidRDefault="00B004E6" w:rsidP="00B004E6">
            <w:pPr>
              <w:pStyle w:val="a7"/>
              <w:numPr>
                <w:ilvl w:val="0"/>
                <w:numId w:val="21"/>
              </w:numPr>
              <w:overflowPunct w:val="0"/>
              <w:autoSpaceDE w:val="0"/>
              <w:autoSpaceDN w:val="0"/>
              <w:adjustRightInd w:val="0"/>
              <w:spacing w:line="259" w:lineRule="auto"/>
              <w:contextualSpacing w:val="0"/>
              <w:textAlignment w:val="baseline"/>
              <w:rPr>
                <w:rFonts w:eastAsiaTheme="minorEastAsia"/>
                <w:bCs/>
                <w:kern w:val="2"/>
                <w:sz w:val="20"/>
                <w:szCs w:val="20"/>
                <w:lang w:eastAsia="zh-CN"/>
              </w:rPr>
            </w:pPr>
            <w:r w:rsidRPr="00B004E6">
              <w:rPr>
                <w:rFonts w:eastAsiaTheme="minorEastAsia"/>
                <w:bCs/>
                <w:kern w:val="2"/>
                <w:sz w:val="20"/>
                <w:szCs w:val="20"/>
                <w:lang w:eastAsia="zh-CN"/>
              </w:rPr>
              <w:t>Others</w:t>
            </w:r>
          </w:p>
        </w:tc>
      </w:tr>
    </w:tbl>
    <w:p w:rsidR="00E42AF5" w:rsidRDefault="00322D14">
      <w:pPr>
        <w:rPr>
          <w:rFonts w:ascii="Times New Roman" w:hAnsi="Times New Roman" w:cs="Times New Roman"/>
          <w:sz w:val="20"/>
          <w:szCs w:val="20"/>
        </w:rPr>
      </w:pPr>
      <w:r>
        <w:rPr>
          <w:rFonts w:ascii="Times New Roman" w:hAnsi="Times New Roman" w:cs="Times New Roman"/>
          <w:sz w:val="20"/>
          <w:szCs w:val="20"/>
        </w:rPr>
        <w:t>For the measurement report period with pre-M</w:t>
      </w:r>
      <w:r w:rsidR="00DA1EA1">
        <w:rPr>
          <w:rFonts w:ascii="Times New Roman" w:hAnsi="Times New Roman" w:cs="Times New Roman"/>
          <w:sz w:val="20"/>
          <w:szCs w:val="20"/>
        </w:rPr>
        <w:t>G, when there is ongoing measurement during one measurement report period after the pre-MG status changed, in order to simplify the delay requirements, UE should restart a new measurement process after the pre-MG status changes. And we do not think the pre-MG activation/deactivation delay including BWP switching delay and additional transition time should</w:t>
      </w:r>
      <w:r w:rsidR="008E1AFC">
        <w:rPr>
          <w:rFonts w:ascii="Times New Roman" w:hAnsi="Times New Roman" w:cs="Times New Roman"/>
          <w:sz w:val="20"/>
          <w:szCs w:val="20"/>
        </w:rPr>
        <w:t xml:space="preserve"> not</w:t>
      </w:r>
      <w:r w:rsidR="00DA1EA1">
        <w:rPr>
          <w:rFonts w:ascii="Times New Roman" w:hAnsi="Times New Roman" w:cs="Times New Roman"/>
          <w:sz w:val="20"/>
          <w:szCs w:val="20"/>
        </w:rPr>
        <w:t xml:space="preserve"> be taken into account in the delay requirement, and the start point of the measurement report delay is the point after the pre-MG activation/deactivation delay.</w:t>
      </w:r>
    </w:p>
    <w:p w:rsidR="00DA1EA1" w:rsidRPr="0038386A" w:rsidRDefault="00DA1EA1" w:rsidP="00DA1EA1">
      <w:pPr>
        <w:spacing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sidR="0038386A" w:rsidRPr="0038386A">
        <w:rPr>
          <w:rFonts w:ascii="Times New Roman" w:hAnsi="Times New Roman" w:cs="Times New Roman"/>
          <w:b/>
          <w:sz w:val="20"/>
          <w:szCs w:val="20"/>
        </w:rPr>
        <w:t>roposal 7</w:t>
      </w:r>
      <w:r w:rsidRPr="0038386A">
        <w:rPr>
          <w:rFonts w:ascii="Times New Roman" w:hAnsi="Times New Roman" w:cs="Times New Roman"/>
          <w:b/>
          <w:sz w:val="20"/>
          <w:szCs w:val="20"/>
        </w:rPr>
        <w:t xml:space="preserve">: </w:t>
      </w:r>
      <w:r w:rsidR="008E1AFC" w:rsidRPr="0038386A">
        <w:rPr>
          <w:rFonts w:ascii="Times New Roman" w:hAnsi="Times New Roman" w:cs="Times New Roman"/>
          <w:b/>
          <w:sz w:val="20"/>
          <w:szCs w:val="20"/>
        </w:rPr>
        <w:t>The start point of the measurement report delay is the point after the pre-MG activation/deactivation delay.</w:t>
      </w:r>
    </w:p>
    <w:p w:rsidR="008E1AFC" w:rsidRPr="0038386A" w:rsidRDefault="008E1AFC" w:rsidP="008E1AFC">
      <w:pPr>
        <w:spacing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sidR="0038386A" w:rsidRPr="0038386A">
        <w:rPr>
          <w:rFonts w:ascii="Times New Roman" w:hAnsi="Times New Roman" w:cs="Times New Roman"/>
          <w:b/>
          <w:sz w:val="20"/>
          <w:szCs w:val="20"/>
        </w:rPr>
        <w:t>roposal 8</w:t>
      </w:r>
      <w:r w:rsidRPr="0038386A">
        <w:rPr>
          <w:rFonts w:ascii="Times New Roman" w:hAnsi="Times New Roman" w:cs="Times New Roman"/>
          <w:b/>
          <w:sz w:val="20"/>
          <w:szCs w:val="20"/>
        </w:rPr>
        <w:t>: UE restarts a new measurement process after the pre-MG status changes.</w:t>
      </w:r>
    </w:p>
    <w:p w:rsidR="00DA1EA1" w:rsidRPr="0038386A" w:rsidRDefault="008E1AFC" w:rsidP="0038386A">
      <w:pPr>
        <w:spacing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sidR="00BB4682">
        <w:rPr>
          <w:rFonts w:ascii="Times New Roman" w:hAnsi="Times New Roman" w:cs="Times New Roman"/>
          <w:b/>
          <w:sz w:val="20"/>
          <w:szCs w:val="20"/>
        </w:rPr>
        <w:t xml:space="preserve">roposal </w:t>
      </w:r>
      <w:r w:rsidRPr="0038386A">
        <w:rPr>
          <w:rFonts w:ascii="Times New Roman" w:hAnsi="Times New Roman" w:cs="Times New Roman"/>
          <w:b/>
          <w:sz w:val="20"/>
          <w:szCs w:val="20"/>
        </w:rPr>
        <w:t>9: The pre-MG activation/deactivation delay including BWP switching delay and additional transition time is not taken into account in the delay requirements with pre-MG.</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discussed </w:t>
      </w:r>
      <w:r w:rsidR="00C639C4">
        <w:rPr>
          <w:rFonts w:ascii="Times New Roman" w:hAnsi="Times New Roman" w:cs="Times New Roman"/>
          <w:sz w:val="20"/>
          <w:szCs w:val="20"/>
        </w:rPr>
        <w:t>the corresponding RRM requirements for pre-configured measurement mechanism</w:t>
      </w:r>
      <w:r>
        <w:rPr>
          <w:rFonts w:ascii="Times New Roman" w:hAnsi="Times New Roman" w:cs="Times New Roman"/>
          <w:sz w:val="20"/>
          <w:szCs w:val="20"/>
        </w:rPr>
        <w:t xml:space="preserve"> and provide our proposals</w:t>
      </w:r>
      <w:r w:rsidR="00C639C4">
        <w:rPr>
          <w:rFonts w:ascii="Times New Roman" w:hAnsi="Times New Roman" w:cs="Times New Roman"/>
          <w:sz w:val="20"/>
          <w:szCs w:val="20"/>
        </w:rPr>
        <w:t xml:space="preserve"> as follows:</w:t>
      </w:r>
    </w:p>
    <w:p w:rsidR="003426D7" w:rsidRPr="0038386A" w:rsidRDefault="003426D7" w:rsidP="003426D7">
      <w:pPr>
        <w:spacing w:before="240"/>
        <w:rPr>
          <w:rFonts w:ascii="Times New Roman" w:hAnsi="Times New Roman" w:cs="Times New Roman"/>
          <w:b/>
          <w:sz w:val="20"/>
          <w:szCs w:val="20"/>
        </w:rPr>
      </w:pPr>
      <w:r w:rsidRPr="0038386A">
        <w:rPr>
          <w:rFonts w:ascii="Times New Roman" w:hAnsi="Times New Roman" w:cs="Times New Roman"/>
          <w:b/>
          <w:sz w:val="20"/>
          <w:szCs w:val="20"/>
        </w:rPr>
        <w:lastRenderedPageBreak/>
        <w:t>Proposal 1: For UE autonomous pre-MG activation/deactivation, the trigger events that may change the status of pre-MG configured to UE include:</w:t>
      </w:r>
    </w:p>
    <w:p w:rsidR="003426D7" w:rsidRPr="0038386A" w:rsidRDefault="003426D7" w:rsidP="003426D7">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 xml:space="preserve">BWP switching  </w:t>
      </w:r>
    </w:p>
    <w:p w:rsidR="003426D7" w:rsidRPr="0038386A" w:rsidRDefault="003426D7" w:rsidP="003426D7">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adding/removing any measurement object(s),</w:t>
      </w:r>
    </w:p>
    <w:p w:rsidR="003426D7" w:rsidRPr="0038386A" w:rsidRDefault="003426D7" w:rsidP="003426D7">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 xml:space="preserve">adding/releasing/changing SCell(s), </w:t>
      </w:r>
    </w:p>
    <w:p w:rsidR="003426D7" w:rsidRPr="0038386A" w:rsidRDefault="003426D7" w:rsidP="003426D7">
      <w:pPr>
        <w:numPr>
          <w:ilvl w:val="0"/>
          <w:numId w:val="21"/>
        </w:numPr>
        <w:rPr>
          <w:rFonts w:ascii="Times New Roman" w:hAnsi="Times New Roman" w:cs="Times New Roman"/>
          <w:b/>
          <w:sz w:val="20"/>
          <w:szCs w:val="20"/>
        </w:rPr>
      </w:pPr>
      <w:r w:rsidRPr="0038386A">
        <w:rPr>
          <w:rFonts w:ascii="Times New Roman" w:hAnsi="Times New Roman" w:cs="Times New Roman"/>
          <w:b/>
          <w:sz w:val="20"/>
          <w:szCs w:val="20"/>
        </w:rPr>
        <w:t>activating/de-activating SCell(s)</w:t>
      </w:r>
    </w:p>
    <w:p w:rsidR="003426D7" w:rsidRPr="0038386A" w:rsidRDefault="003426D7" w:rsidP="003426D7">
      <w:pPr>
        <w:numPr>
          <w:ilvl w:val="0"/>
          <w:numId w:val="21"/>
        </w:numPr>
        <w:spacing w:after="240"/>
        <w:rPr>
          <w:rFonts w:ascii="Times New Roman" w:hAnsi="Times New Roman" w:cs="Times New Roman"/>
          <w:b/>
          <w:sz w:val="20"/>
          <w:szCs w:val="20"/>
        </w:rPr>
      </w:pPr>
      <w:r w:rsidRPr="0038386A">
        <w:rPr>
          <w:rFonts w:ascii="Times New Roman" w:hAnsi="Times New Roman" w:cs="Times New Roman"/>
          <w:b/>
          <w:sz w:val="20"/>
          <w:szCs w:val="20"/>
        </w:rPr>
        <w:t>LPP positioning request</w:t>
      </w:r>
    </w:p>
    <w:p w:rsidR="003426D7" w:rsidRPr="003426D7" w:rsidRDefault="003426D7" w:rsidP="003426D7">
      <w:pPr>
        <w:spacing w:before="240" w:after="240"/>
        <w:rPr>
          <w:rFonts w:ascii="Times New Roman" w:hAnsi="Times New Roman" w:cs="Times New Roman"/>
          <w:b/>
          <w:sz w:val="20"/>
          <w:szCs w:val="20"/>
        </w:rPr>
      </w:pPr>
      <w:r w:rsidRPr="003426D7">
        <w:rPr>
          <w:rFonts w:ascii="Times New Roman" w:hAnsi="Times New Roman" w:cs="Times New Roman"/>
          <w:b/>
          <w:sz w:val="20"/>
          <w:szCs w:val="20"/>
        </w:rPr>
        <w:t>Observation 1</w:t>
      </w:r>
      <w:r w:rsidRPr="003426D7">
        <w:rPr>
          <w:rFonts w:ascii="Times New Roman" w:hAnsi="Times New Roman" w:cs="Times New Roman" w:hint="eastAsia"/>
          <w:b/>
          <w:sz w:val="20"/>
          <w:szCs w:val="20"/>
        </w:rPr>
        <w:t>：</w:t>
      </w:r>
      <w:r w:rsidRPr="003426D7">
        <w:rPr>
          <w:rFonts w:ascii="Times New Roman" w:hAnsi="Times New Roman" w:cs="Times New Roman"/>
          <w:b/>
          <w:sz w:val="20"/>
          <w:szCs w:val="20"/>
        </w:rPr>
        <w:t>For UEs only support network-controlled pre-MG activation/deactivation, when the measurement changes are not triggered by RRC configuration, e.g. SCell activation/deactivation, the status of pre-MG cannot be updated accordingly.</w:t>
      </w:r>
    </w:p>
    <w:p w:rsidR="003426D7" w:rsidRPr="003426D7" w:rsidRDefault="003426D7" w:rsidP="003426D7">
      <w:pPr>
        <w:spacing w:before="240" w:after="240"/>
        <w:rPr>
          <w:rFonts w:ascii="Times New Roman" w:hAnsi="Times New Roman" w:cs="Times New Roman"/>
          <w:b/>
          <w:sz w:val="20"/>
          <w:szCs w:val="20"/>
        </w:rPr>
      </w:pPr>
      <w:r w:rsidRPr="003426D7">
        <w:rPr>
          <w:rFonts w:ascii="Times New Roman" w:hAnsi="Times New Roman" w:cs="Times New Roman"/>
          <w:b/>
          <w:sz w:val="20"/>
          <w:szCs w:val="20"/>
        </w:rPr>
        <w:t>Proposal 2: For UEs support UE autonomous pre-MG activation/deactivation,</w:t>
      </w:r>
      <w:r w:rsidRPr="003426D7">
        <w:rPr>
          <w:rFonts w:ascii="Times New Roman" w:hAnsi="Times New Roman" w:cs="Times New Roman" w:hint="eastAsia"/>
          <w:b/>
          <w:sz w:val="20"/>
          <w:szCs w:val="20"/>
        </w:rPr>
        <w:t xml:space="preserve"> </w:t>
      </w:r>
      <w:r w:rsidRPr="003426D7">
        <w:rPr>
          <w:rFonts w:ascii="Times New Roman" w:hAnsi="Times New Roman" w:cs="Times New Roman"/>
          <w:b/>
          <w:sz w:val="20"/>
          <w:szCs w:val="20"/>
        </w:rPr>
        <w:t>the pre-MG under CA case with pre-MG activation/deactivation based on BWP switching on a single CC is supported.</w:t>
      </w:r>
    </w:p>
    <w:p w:rsidR="003426D7" w:rsidRPr="00ED5A47" w:rsidRDefault="003426D7" w:rsidP="003426D7">
      <w:pPr>
        <w:spacing w:before="240" w:after="240"/>
        <w:rPr>
          <w:rFonts w:ascii="Times New Roman" w:hAnsi="Times New Roman" w:cs="Times New Roman"/>
          <w:b/>
          <w:sz w:val="20"/>
          <w:szCs w:val="20"/>
        </w:rPr>
      </w:pPr>
      <w:r w:rsidRPr="0038386A">
        <w:rPr>
          <w:rFonts w:ascii="Times New Roman" w:hAnsi="Times New Roman" w:cs="Times New Roman"/>
          <w:b/>
          <w:sz w:val="20"/>
          <w:szCs w:val="20"/>
        </w:rPr>
        <w:t xml:space="preserve">Proposal 3: The </w:t>
      </w:r>
      <w:r w:rsidRPr="0038386A">
        <w:rPr>
          <w:rFonts w:ascii="Times New Roman" w:hAnsi="Times New Roman" w:cs="Times New Roman"/>
          <w:b/>
          <w:i/>
          <w:sz w:val="20"/>
          <w:szCs w:val="20"/>
        </w:rPr>
        <w:t>LocationMeasurementIndication</w:t>
      </w:r>
      <w:r w:rsidRPr="0038386A">
        <w:rPr>
          <w:rFonts w:ascii="Times New Roman" w:hAnsi="Times New Roman" w:cs="Times New Roman"/>
          <w:b/>
          <w:sz w:val="20"/>
          <w:szCs w:val="20"/>
        </w:rPr>
        <w:t xml:space="preserve"> message is used to indicate serving cell about the PRS measurement when pre-MG is configured for Rel-16 PRS measurement.</w:t>
      </w:r>
    </w:p>
    <w:p w:rsidR="003426D7" w:rsidRPr="008D46A9" w:rsidRDefault="003426D7" w:rsidP="003426D7">
      <w:pPr>
        <w:spacing w:before="240"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sidRPr="0038386A">
        <w:rPr>
          <w:rFonts w:ascii="Times New Roman" w:hAnsi="Times New Roman" w:cs="Times New Roman"/>
          <w:b/>
          <w:sz w:val="20"/>
          <w:szCs w:val="20"/>
        </w:rPr>
        <w:t xml:space="preserve">roposal 4: The </w:t>
      </w:r>
      <w:r w:rsidRPr="0038386A">
        <w:rPr>
          <w:rFonts w:ascii="Times New Roman" w:hAnsi="Times New Roman" w:cs="Times New Roman"/>
          <w:b/>
          <w:bCs/>
          <w:sz w:val="20"/>
          <w:szCs w:val="20"/>
        </w:rPr>
        <w:t>initial status (activation/deactivation) of Pre-MG is determined based on the same rules used for autonomous activation/deactivation of Pre-MG.</w:t>
      </w:r>
    </w:p>
    <w:p w:rsidR="003426D7" w:rsidRPr="003B0DEC" w:rsidRDefault="003426D7" w:rsidP="003426D7">
      <w:pPr>
        <w:spacing w:before="240" w:after="240"/>
        <w:rPr>
          <w:rFonts w:ascii="Times New Roman" w:hAnsi="Times New Roman" w:cs="Times New Roman"/>
          <w:b/>
          <w:sz w:val="20"/>
          <w:szCs w:val="20"/>
        </w:rPr>
      </w:pPr>
      <w:r w:rsidRPr="0038386A">
        <w:rPr>
          <w:rFonts w:ascii="Times New Roman" w:hAnsi="Times New Roman" w:cs="Times New Roman"/>
          <w:b/>
          <w:sz w:val="20"/>
          <w:szCs w:val="20"/>
        </w:rPr>
        <w:t xml:space="preserve">Proposal 5: The additional transition time for Pre-MG activation/deactivation delay is defined as </w:t>
      </w:r>
      <w:r w:rsidRPr="0038386A">
        <w:rPr>
          <w:rFonts w:ascii="Times New Roman" w:hAnsi="Times New Roman" w:cs="Times New Roman"/>
          <w:b/>
          <w:sz w:val="20"/>
          <w:szCs w:val="20"/>
        </w:rPr>
        <w:sym w:font="Symbol" w:char="F044"/>
      </w:r>
      <w:r w:rsidRPr="0038386A">
        <w:rPr>
          <w:rFonts w:ascii="Times New Roman" w:hAnsi="Times New Roman" w:cs="Times New Roman"/>
          <w:b/>
          <w:sz w:val="20"/>
          <w:szCs w:val="20"/>
        </w:rPr>
        <w:t>T = 10ms – BWP switch delay.</w:t>
      </w:r>
      <w:r w:rsidRPr="009B2B37">
        <w:rPr>
          <w:rFonts w:ascii="Times New Roman" w:hAnsi="Times New Roman" w:cs="Times New Roman"/>
          <w:b/>
          <w:sz w:val="20"/>
          <w:szCs w:val="20"/>
        </w:rPr>
        <w:t xml:space="preserve"> </w:t>
      </w:r>
    </w:p>
    <w:p w:rsidR="00951FC6" w:rsidRPr="00F73520" w:rsidRDefault="00951FC6" w:rsidP="00951FC6">
      <w:pPr>
        <w:spacing w:before="240" w:after="240"/>
        <w:rPr>
          <w:rFonts w:ascii="Times New Roman" w:hAnsi="Times New Roman" w:cs="Times New Roman"/>
          <w:b/>
          <w:sz w:val="20"/>
          <w:szCs w:val="20"/>
        </w:rPr>
      </w:pPr>
      <w:r w:rsidRPr="0038386A">
        <w:rPr>
          <w:rFonts w:ascii="Times New Roman" w:hAnsi="Times New Roman" w:cs="Times New Roman"/>
          <w:b/>
          <w:sz w:val="20"/>
          <w:szCs w:val="20"/>
        </w:rPr>
        <w:t>Proposal 6: The pre-MG activation/deactivation takes effect on measurement after the pre-MG activation/deactivation delay.</w:t>
      </w:r>
    </w:p>
    <w:p w:rsidR="00951FC6" w:rsidRPr="0038386A" w:rsidRDefault="00951FC6" w:rsidP="00951FC6">
      <w:pPr>
        <w:spacing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sidRPr="0038386A">
        <w:rPr>
          <w:rFonts w:ascii="Times New Roman" w:hAnsi="Times New Roman" w:cs="Times New Roman"/>
          <w:b/>
          <w:sz w:val="20"/>
          <w:szCs w:val="20"/>
        </w:rPr>
        <w:t>roposal 7: The start point of the measurement report delay is the point after the pre-MG activation/deactivation delay.</w:t>
      </w:r>
    </w:p>
    <w:p w:rsidR="00951FC6" w:rsidRPr="0038386A" w:rsidRDefault="00951FC6" w:rsidP="00951FC6">
      <w:pPr>
        <w:spacing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sidRPr="0038386A">
        <w:rPr>
          <w:rFonts w:ascii="Times New Roman" w:hAnsi="Times New Roman" w:cs="Times New Roman"/>
          <w:b/>
          <w:sz w:val="20"/>
          <w:szCs w:val="20"/>
        </w:rPr>
        <w:t>roposal 8: UE restarts a new measurement process after the pre-MG status changes.</w:t>
      </w:r>
    </w:p>
    <w:p w:rsidR="002177EC" w:rsidRPr="00951FC6" w:rsidRDefault="00951FC6" w:rsidP="002177EC">
      <w:pPr>
        <w:spacing w:after="240"/>
        <w:rPr>
          <w:rFonts w:ascii="Times New Roman" w:hAnsi="Times New Roman" w:cs="Times New Roman"/>
          <w:b/>
          <w:sz w:val="20"/>
          <w:szCs w:val="20"/>
        </w:rPr>
      </w:pPr>
      <w:r w:rsidRPr="0038386A">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Pr="0038386A">
        <w:rPr>
          <w:rFonts w:ascii="Times New Roman" w:hAnsi="Times New Roman" w:cs="Times New Roman"/>
          <w:b/>
          <w:sz w:val="20"/>
          <w:szCs w:val="20"/>
        </w:rPr>
        <w:t>9: The pre-MG activation/deactivation delay including BWP switching delay and additional transition time is not taken into account in the delay requirements with pre-MG.</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B75389">
        <w:rPr>
          <w:rFonts w:ascii="Times New Roman" w:hAnsi="Times New Roman" w:cs="Times New Roman"/>
          <w:sz w:val="20"/>
          <w:szCs w:val="20"/>
        </w:rPr>
        <w:t>1]</w:t>
      </w:r>
      <w:r w:rsidR="00B75389">
        <w:rPr>
          <w:rFonts w:ascii="Times New Roman" w:hAnsi="Times New Roman" w:cs="Times New Roman"/>
          <w:sz w:val="20"/>
          <w:szCs w:val="20"/>
        </w:rPr>
        <w:tab/>
        <w:t>R4</w:t>
      </w:r>
      <w:r>
        <w:rPr>
          <w:rFonts w:ascii="Times New Roman" w:hAnsi="Times New Roman" w:cs="Times New Roman"/>
          <w:sz w:val="20"/>
          <w:szCs w:val="20"/>
        </w:rPr>
        <w:t>-2</w:t>
      </w:r>
      <w:r w:rsidR="00B75389">
        <w:rPr>
          <w:rFonts w:ascii="Times New Roman" w:hAnsi="Times New Roman" w:cs="Times New Roman"/>
          <w:sz w:val="20"/>
          <w:szCs w:val="20"/>
        </w:rPr>
        <w:t>1</w:t>
      </w:r>
      <w:r w:rsidR="00EB5AFF">
        <w:rPr>
          <w:rFonts w:ascii="Times New Roman" w:hAnsi="Times New Roman" w:cs="Times New Roman"/>
          <w:sz w:val="20"/>
          <w:szCs w:val="20"/>
        </w:rPr>
        <w:t>20301</w:t>
      </w:r>
      <w:r>
        <w:rPr>
          <w:rFonts w:ascii="Times New Roman" w:hAnsi="Times New Roman" w:cs="Times New Roman"/>
          <w:sz w:val="20"/>
          <w:szCs w:val="20"/>
        </w:rPr>
        <w:tab/>
      </w:r>
      <w:r w:rsidR="001E4503" w:rsidRPr="001E4503">
        <w:rPr>
          <w:rFonts w:ascii="Times New Roman" w:hAnsi="Times New Roman" w:cs="Times New Roman"/>
          <w:sz w:val="20"/>
          <w:szCs w:val="20"/>
        </w:rPr>
        <w:t>WF on R17 NR MG enhancements – Pre-configured MG</w:t>
      </w:r>
      <w:r w:rsidR="00B75389">
        <w:rPr>
          <w:rFonts w:ascii="Times New Roman" w:hAnsi="Times New Roman" w:cs="Times New Roman"/>
          <w:sz w:val="20"/>
          <w:szCs w:val="20"/>
        </w:rPr>
        <w:t>,</w:t>
      </w:r>
      <w:r w:rsidR="001E4503">
        <w:rPr>
          <w:rFonts w:ascii="Times New Roman" w:hAnsi="Times New Roman" w:cs="Times New Roman"/>
          <w:sz w:val="20"/>
          <w:szCs w:val="20"/>
        </w:rPr>
        <w:tab/>
      </w:r>
      <w:r>
        <w:rPr>
          <w:rFonts w:ascii="Times New Roman" w:hAnsi="Times New Roman" w:cs="Times New Roman"/>
          <w:sz w:val="20"/>
          <w:szCs w:val="20"/>
        </w:rPr>
        <w:t>Intel</w:t>
      </w:r>
    </w:p>
    <w:p w:rsidR="00304C43" w:rsidRPr="00B75389" w:rsidRDefault="00304C43" w:rsidP="006A69F0">
      <w:pPr>
        <w:rPr>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EB5AFF">
        <w:rPr>
          <w:rFonts w:ascii="Times New Roman" w:hAnsi="Times New Roman" w:cs="Times New Roman"/>
          <w:sz w:val="20"/>
          <w:szCs w:val="20"/>
        </w:rPr>
        <w:t>TS38.331</w:t>
      </w:r>
    </w:p>
    <w:sectPr w:rsidR="00304C43" w:rsidRPr="00B753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420" w:rsidRDefault="00CC2420" w:rsidP="0054389C">
      <w:r>
        <w:separator/>
      </w:r>
    </w:p>
  </w:endnote>
  <w:endnote w:type="continuationSeparator" w:id="0">
    <w:p w:rsidR="00CC2420" w:rsidRDefault="00CC2420"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420" w:rsidRDefault="00CC2420" w:rsidP="0054389C">
      <w:r>
        <w:separator/>
      </w:r>
    </w:p>
  </w:footnote>
  <w:footnote w:type="continuationSeparator" w:id="0">
    <w:p w:rsidR="00CC2420" w:rsidRDefault="00CC2420"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4051B"/>
    <w:multiLevelType w:val="hybridMultilevel"/>
    <w:tmpl w:val="26D8888C"/>
    <w:lvl w:ilvl="0" w:tplc="F440FC22">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40653"/>
    <w:multiLevelType w:val="hybridMultilevel"/>
    <w:tmpl w:val="79041D52"/>
    <w:lvl w:ilvl="0" w:tplc="163C7928">
      <w:start w:val="1"/>
      <w:numFmt w:val="bullet"/>
      <w:lvlText w:val="•"/>
      <w:lvlJc w:val="left"/>
      <w:pPr>
        <w:tabs>
          <w:tab w:val="num" w:pos="720"/>
        </w:tabs>
        <w:ind w:left="720" w:hanging="360"/>
      </w:pPr>
      <w:rPr>
        <w:rFonts w:ascii="Arial" w:hAnsi="Arial" w:hint="default"/>
      </w:rPr>
    </w:lvl>
    <w:lvl w:ilvl="1" w:tplc="50BE100A">
      <w:start w:val="18052"/>
      <w:numFmt w:val="bullet"/>
      <w:lvlText w:val="–"/>
      <w:lvlJc w:val="left"/>
      <w:pPr>
        <w:tabs>
          <w:tab w:val="num" w:pos="1440"/>
        </w:tabs>
        <w:ind w:left="1440" w:hanging="360"/>
      </w:pPr>
      <w:rPr>
        <w:rFonts w:ascii="Arial" w:hAnsi="Arial" w:hint="default"/>
      </w:rPr>
    </w:lvl>
    <w:lvl w:ilvl="2" w:tplc="BC34A39A" w:tentative="1">
      <w:start w:val="1"/>
      <w:numFmt w:val="bullet"/>
      <w:lvlText w:val="•"/>
      <w:lvlJc w:val="left"/>
      <w:pPr>
        <w:tabs>
          <w:tab w:val="num" w:pos="2160"/>
        </w:tabs>
        <w:ind w:left="2160" w:hanging="360"/>
      </w:pPr>
      <w:rPr>
        <w:rFonts w:ascii="Arial" w:hAnsi="Arial" w:hint="default"/>
      </w:rPr>
    </w:lvl>
    <w:lvl w:ilvl="3" w:tplc="CFB01C40" w:tentative="1">
      <w:start w:val="1"/>
      <w:numFmt w:val="bullet"/>
      <w:lvlText w:val="•"/>
      <w:lvlJc w:val="left"/>
      <w:pPr>
        <w:tabs>
          <w:tab w:val="num" w:pos="2880"/>
        </w:tabs>
        <w:ind w:left="2880" w:hanging="360"/>
      </w:pPr>
      <w:rPr>
        <w:rFonts w:ascii="Arial" w:hAnsi="Arial" w:hint="default"/>
      </w:rPr>
    </w:lvl>
    <w:lvl w:ilvl="4" w:tplc="2914344E" w:tentative="1">
      <w:start w:val="1"/>
      <w:numFmt w:val="bullet"/>
      <w:lvlText w:val="•"/>
      <w:lvlJc w:val="left"/>
      <w:pPr>
        <w:tabs>
          <w:tab w:val="num" w:pos="3600"/>
        </w:tabs>
        <w:ind w:left="3600" w:hanging="360"/>
      </w:pPr>
      <w:rPr>
        <w:rFonts w:ascii="Arial" w:hAnsi="Arial" w:hint="default"/>
      </w:rPr>
    </w:lvl>
    <w:lvl w:ilvl="5" w:tplc="EAF44B4E" w:tentative="1">
      <w:start w:val="1"/>
      <w:numFmt w:val="bullet"/>
      <w:lvlText w:val="•"/>
      <w:lvlJc w:val="left"/>
      <w:pPr>
        <w:tabs>
          <w:tab w:val="num" w:pos="4320"/>
        </w:tabs>
        <w:ind w:left="4320" w:hanging="360"/>
      </w:pPr>
      <w:rPr>
        <w:rFonts w:ascii="Arial" w:hAnsi="Arial" w:hint="default"/>
      </w:rPr>
    </w:lvl>
    <w:lvl w:ilvl="6" w:tplc="3F006BE0" w:tentative="1">
      <w:start w:val="1"/>
      <w:numFmt w:val="bullet"/>
      <w:lvlText w:val="•"/>
      <w:lvlJc w:val="left"/>
      <w:pPr>
        <w:tabs>
          <w:tab w:val="num" w:pos="5040"/>
        </w:tabs>
        <w:ind w:left="5040" w:hanging="360"/>
      </w:pPr>
      <w:rPr>
        <w:rFonts w:ascii="Arial" w:hAnsi="Arial" w:hint="default"/>
      </w:rPr>
    </w:lvl>
    <w:lvl w:ilvl="7" w:tplc="09C29406" w:tentative="1">
      <w:start w:val="1"/>
      <w:numFmt w:val="bullet"/>
      <w:lvlText w:val="•"/>
      <w:lvlJc w:val="left"/>
      <w:pPr>
        <w:tabs>
          <w:tab w:val="num" w:pos="5760"/>
        </w:tabs>
        <w:ind w:left="5760" w:hanging="360"/>
      </w:pPr>
      <w:rPr>
        <w:rFonts w:ascii="Arial" w:hAnsi="Arial" w:hint="default"/>
      </w:rPr>
    </w:lvl>
    <w:lvl w:ilvl="8" w:tplc="41A841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3B594F"/>
    <w:multiLevelType w:val="hybridMultilevel"/>
    <w:tmpl w:val="61F44BD8"/>
    <w:lvl w:ilvl="0" w:tplc="1BD2BDC4">
      <w:start w:val="1"/>
      <w:numFmt w:val="bullet"/>
      <w:lvlText w:val="•"/>
      <w:lvlJc w:val="left"/>
      <w:pPr>
        <w:tabs>
          <w:tab w:val="num" w:pos="720"/>
        </w:tabs>
        <w:ind w:left="720" w:hanging="360"/>
      </w:pPr>
      <w:rPr>
        <w:rFonts w:ascii="Arial" w:hAnsi="Arial" w:hint="default"/>
      </w:rPr>
    </w:lvl>
    <w:lvl w:ilvl="1" w:tplc="B8DA037E">
      <w:numFmt w:val="none"/>
      <w:lvlText w:val=""/>
      <w:lvlJc w:val="left"/>
      <w:pPr>
        <w:tabs>
          <w:tab w:val="num" w:pos="360"/>
        </w:tabs>
      </w:pPr>
    </w:lvl>
    <w:lvl w:ilvl="2" w:tplc="622A593A" w:tentative="1">
      <w:start w:val="1"/>
      <w:numFmt w:val="bullet"/>
      <w:lvlText w:val="•"/>
      <w:lvlJc w:val="left"/>
      <w:pPr>
        <w:tabs>
          <w:tab w:val="num" w:pos="2160"/>
        </w:tabs>
        <w:ind w:left="2160" w:hanging="360"/>
      </w:pPr>
      <w:rPr>
        <w:rFonts w:ascii="Arial" w:hAnsi="Arial" w:hint="default"/>
      </w:rPr>
    </w:lvl>
    <w:lvl w:ilvl="3" w:tplc="A0CE8DB2" w:tentative="1">
      <w:start w:val="1"/>
      <w:numFmt w:val="bullet"/>
      <w:lvlText w:val="•"/>
      <w:lvlJc w:val="left"/>
      <w:pPr>
        <w:tabs>
          <w:tab w:val="num" w:pos="2880"/>
        </w:tabs>
        <w:ind w:left="2880" w:hanging="360"/>
      </w:pPr>
      <w:rPr>
        <w:rFonts w:ascii="Arial" w:hAnsi="Arial" w:hint="default"/>
      </w:rPr>
    </w:lvl>
    <w:lvl w:ilvl="4" w:tplc="511E78AC" w:tentative="1">
      <w:start w:val="1"/>
      <w:numFmt w:val="bullet"/>
      <w:lvlText w:val="•"/>
      <w:lvlJc w:val="left"/>
      <w:pPr>
        <w:tabs>
          <w:tab w:val="num" w:pos="3600"/>
        </w:tabs>
        <w:ind w:left="3600" w:hanging="360"/>
      </w:pPr>
      <w:rPr>
        <w:rFonts w:ascii="Arial" w:hAnsi="Arial" w:hint="default"/>
      </w:rPr>
    </w:lvl>
    <w:lvl w:ilvl="5" w:tplc="F1DE938C" w:tentative="1">
      <w:start w:val="1"/>
      <w:numFmt w:val="bullet"/>
      <w:lvlText w:val="•"/>
      <w:lvlJc w:val="left"/>
      <w:pPr>
        <w:tabs>
          <w:tab w:val="num" w:pos="4320"/>
        </w:tabs>
        <w:ind w:left="4320" w:hanging="360"/>
      </w:pPr>
      <w:rPr>
        <w:rFonts w:ascii="Arial" w:hAnsi="Arial" w:hint="default"/>
      </w:rPr>
    </w:lvl>
    <w:lvl w:ilvl="6" w:tplc="F4B21224" w:tentative="1">
      <w:start w:val="1"/>
      <w:numFmt w:val="bullet"/>
      <w:lvlText w:val="•"/>
      <w:lvlJc w:val="left"/>
      <w:pPr>
        <w:tabs>
          <w:tab w:val="num" w:pos="5040"/>
        </w:tabs>
        <w:ind w:left="5040" w:hanging="360"/>
      </w:pPr>
      <w:rPr>
        <w:rFonts w:ascii="Arial" w:hAnsi="Arial" w:hint="default"/>
      </w:rPr>
    </w:lvl>
    <w:lvl w:ilvl="7" w:tplc="580C4DDA" w:tentative="1">
      <w:start w:val="1"/>
      <w:numFmt w:val="bullet"/>
      <w:lvlText w:val="•"/>
      <w:lvlJc w:val="left"/>
      <w:pPr>
        <w:tabs>
          <w:tab w:val="num" w:pos="5760"/>
        </w:tabs>
        <w:ind w:left="5760" w:hanging="360"/>
      </w:pPr>
      <w:rPr>
        <w:rFonts w:ascii="Arial" w:hAnsi="Arial" w:hint="default"/>
      </w:rPr>
    </w:lvl>
    <w:lvl w:ilvl="8" w:tplc="3C9A29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9E3E7D"/>
    <w:multiLevelType w:val="hybridMultilevel"/>
    <w:tmpl w:val="FF561B42"/>
    <w:lvl w:ilvl="0" w:tplc="1F4E7828">
      <w:start w:val="1"/>
      <w:numFmt w:val="bullet"/>
      <w:lvlText w:val="•"/>
      <w:lvlJc w:val="left"/>
      <w:pPr>
        <w:tabs>
          <w:tab w:val="num" w:pos="720"/>
        </w:tabs>
        <w:ind w:left="720" w:hanging="360"/>
      </w:pPr>
      <w:rPr>
        <w:rFonts w:ascii="Arial" w:hAnsi="Arial" w:hint="default"/>
      </w:rPr>
    </w:lvl>
    <w:lvl w:ilvl="1" w:tplc="162AB56E">
      <w:start w:val="30628"/>
      <w:numFmt w:val="bullet"/>
      <w:lvlText w:val="–"/>
      <w:lvlJc w:val="left"/>
      <w:pPr>
        <w:tabs>
          <w:tab w:val="num" w:pos="1440"/>
        </w:tabs>
        <w:ind w:left="1440" w:hanging="360"/>
      </w:pPr>
      <w:rPr>
        <w:rFonts w:ascii="Arial" w:hAnsi="Arial" w:hint="default"/>
      </w:rPr>
    </w:lvl>
    <w:lvl w:ilvl="2" w:tplc="D8FA8B12" w:tentative="1">
      <w:start w:val="1"/>
      <w:numFmt w:val="bullet"/>
      <w:lvlText w:val="•"/>
      <w:lvlJc w:val="left"/>
      <w:pPr>
        <w:tabs>
          <w:tab w:val="num" w:pos="2160"/>
        </w:tabs>
        <w:ind w:left="2160" w:hanging="360"/>
      </w:pPr>
      <w:rPr>
        <w:rFonts w:ascii="Arial" w:hAnsi="Arial" w:hint="default"/>
      </w:rPr>
    </w:lvl>
    <w:lvl w:ilvl="3" w:tplc="D75687B0" w:tentative="1">
      <w:start w:val="1"/>
      <w:numFmt w:val="bullet"/>
      <w:lvlText w:val="•"/>
      <w:lvlJc w:val="left"/>
      <w:pPr>
        <w:tabs>
          <w:tab w:val="num" w:pos="2880"/>
        </w:tabs>
        <w:ind w:left="2880" w:hanging="360"/>
      </w:pPr>
      <w:rPr>
        <w:rFonts w:ascii="Arial" w:hAnsi="Arial" w:hint="default"/>
      </w:rPr>
    </w:lvl>
    <w:lvl w:ilvl="4" w:tplc="D56C444C" w:tentative="1">
      <w:start w:val="1"/>
      <w:numFmt w:val="bullet"/>
      <w:lvlText w:val="•"/>
      <w:lvlJc w:val="left"/>
      <w:pPr>
        <w:tabs>
          <w:tab w:val="num" w:pos="3600"/>
        </w:tabs>
        <w:ind w:left="3600" w:hanging="360"/>
      </w:pPr>
      <w:rPr>
        <w:rFonts w:ascii="Arial" w:hAnsi="Arial" w:hint="default"/>
      </w:rPr>
    </w:lvl>
    <w:lvl w:ilvl="5" w:tplc="98F0CAC8" w:tentative="1">
      <w:start w:val="1"/>
      <w:numFmt w:val="bullet"/>
      <w:lvlText w:val="•"/>
      <w:lvlJc w:val="left"/>
      <w:pPr>
        <w:tabs>
          <w:tab w:val="num" w:pos="4320"/>
        </w:tabs>
        <w:ind w:left="4320" w:hanging="360"/>
      </w:pPr>
      <w:rPr>
        <w:rFonts w:ascii="Arial" w:hAnsi="Arial" w:hint="default"/>
      </w:rPr>
    </w:lvl>
    <w:lvl w:ilvl="6" w:tplc="01985DBA" w:tentative="1">
      <w:start w:val="1"/>
      <w:numFmt w:val="bullet"/>
      <w:lvlText w:val="•"/>
      <w:lvlJc w:val="left"/>
      <w:pPr>
        <w:tabs>
          <w:tab w:val="num" w:pos="5040"/>
        </w:tabs>
        <w:ind w:left="5040" w:hanging="360"/>
      </w:pPr>
      <w:rPr>
        <w:rFonts w:ascii="Arial" w:hAnsi="Arial" w:hint="default"/>
      </w:rPr>
    </w:lvl>
    <w:lvl w:ilvl="7" w:tplc="03F2AD0A" w:tentative="1">
      <w:start w:val="1"/>
      <w:numFmt w:val="bullet"/>
      <w:lvlText w:val="•"/>
      <w:lvlJc w:val="left"/>
      <w:pPr>
        <w:tabs>
          <w:tab w:val="num" w:pos="5760"/>
        </w:tabs>
        <w:ind w:left="5760" w:hanging="360"/>
      </w:pPr>
      <w:rPr>
        <w:rFonts w:ascii="Arial" w:hAnsi="Arial" w:hint="default"/>
      </w:rPr>
    </w:lvl>
    <w:lvl w:ilvl="8" w:tplc="05ECAF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5A7C08"/>
    <w:multiLevelType w:val="hybridMultilevel"/>
    <w:tmpl w:val="2BE8C79C"/>
    <w:lvl w:ilvl="0" w:tplc="4C166B58">
      <w:start w:val="1"/>
      <w:numFmt w:val="bullet"/>
      <w:lvlText w:val="•"/>
      <w:lvlJc w:val="left"/>
      <w:pPr>
        <w:tabs>
          <w:tab w:val="num" w:pos="720"/>
        </w:tabs>
        <w:ind w:left="720" w:hanging="360"/>
      </w:pPr>
      <w:rPr>
        <w:rFonts w:ascii="Arial" w:hAnsi="Arial" w:hint="default"/>
      </w:rPr>
    </w:lvl>
    <w:lvl w:ilvl="1" w:tplc="7760278E">
      <w:start w:val="30628"/>
      <w:numFmt w:val="bullet"/>
      <w:lvlText w:val="–"/>
      <w:lvlJc w:val="left"/>
      <w:pPr>
        <w:tabs>
          <w:tab w:val="num" w:pos="1440"/>
        </w:tabs>
        <w:ind w:left="1440" w:hanging="360"/>
      </w:pPr>
      <w:rPr>
        <w:rFonts w:ascii="Arial" w:hAnsi="Arial" w:hint="default"/>
      </w:rPr>
    </w:lvl>
    <w:lvl w:ilvl="2" w:tplc="EF8EB600">
      <w:start w:val="30628"/>
      <w:numFmt w:val="bullet"/>
      <w:lvlText w:val="•"/>
      <w:lvlJc w:val="left"/>
      <w:pPr>
        <w:tabs>
          <w:tab w:val="num" w:pos="2160"/>
        </w:tabs>
        <w:ind w:left="2160" w:hanging="360"/>
      </w:pPr>
      <w:rPr>
        <w:rFonts w:ascii="Arial" w:hAnsi="Arial" w:hint="default"/>
      </w:rPr>
    </w:lvl>
    <w:lvl w:ilvl="3" w:tplc="C3BC9134" w:tentative="1">
      <w:start w:val="1"/>
      <w:numFmt w:val="bullet"/>
      <w:lvlText w:val="•"/>
      <w:lvlJc w:val="left"/>
      <w:pPr>
        <w:tabs>
          <w:tab w:val="num" w:pos="2880"/>
        </w:tabs>
        <w:ind w:left="2880" w:hanging="360"/>
      </w:pPr>
      <w:rPr>
        <w:rFonts w:ascii="Arial" w:hAnsi="Arial" w:hint="default"/>
      </w:rPr>
    </w:lvl>
    <w:lvl w:ilvl="4" w:tplc="057EED54" w:tentative="1">
      <w:start w:val="1"/>
      <w:numFmt w:val="bullet"/>
      <w:lvlText w:val="•"/>
      <w:lvlJc w:val="left"/>
      <w:pPr>
        <w:tabs>
          <w:tab w:val="num" w:pos="3600"/>
        </w:tabs>
        <w:ind w:left="3600" w:hanging="360"/>
      </w:pPr>
      <w:rPr>
        <w:rFonts w:ascii="Arial" w:hAnsi="Arial" w:hint="default"/>
      </w:rPr>
    </w:lvl>
    <w:lvl w:ilvl="5" w:tplc="4E56C106" w:tentative="1">
      <w:start w:val="1"/>
      <w:numFmt w:val="bullet"/>
      <w:lvlText w:val="•"/>
      <w:lvlJc w:val="left"/>
      <w:pPr>
        <w:tabs>
          <w:tab w:val="num" w:pos="4320"/>
        </w:tabs>
        <w:ind w:left="4320" w:hanging="360"/>
      </w:pPr>
      <w:rPr>
        <w:rFonts w:ascii="Arial" w:hAnsi="Arial" w:hint="default"/>
      </w:rPr>
    </w:lvl>
    <w:lvl w:ilvl="6" w:tplc="A2B0B9BA" w:tentative="1">
      <w:start w:val="1"/>
      <w:numFmt w:val="bullet"/>
      <w:lvlText w:val="•"/>
      <w:lvlJc w:val="left"/>
      <w:pPr>
        <w:tabs>
          <w:tab w:val="num" w:pos="5040"/>
        </w:tabs>
        <w:ind w:left="5040" w:hanging="360"/>
      </w:pPr>
      <w:rPr>
        <w:rFonts w:ascii="Arial" w:hAnsi="Arial" w:hint="default"/>
      </w:rPr>
    </w:lvl>
    <w:lvl w:ilvl="7" w:tplc="BA02764A" w:tentative="1">
      <w:start w:val="1"/>
      <w:numFmt w:val="bullet"/>
      <w:lvlText w:val="•"/>
      <w:lvlJc w:val="left"/>
      <w:pPr>
        <w:tabs>
          <w:tab w:val="num" w:pos="5760"/>
        </w:tabs>
        <w:ind w:left="5760" w:hanging="360"/>
      </w:pPr>
      <w:rPr>
        <w:rFonts w:ascii="Arial" w:hAnsi="Arial" w:hint="default"/>
      </w:rPr>
    </w:lvl>
    <w:lvl w:ilvl="8" w:tplc="5BC89B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B406C8"/>
    <w:multiLevelType w:val="hybridMultilevel"/>
    <w:tmpl w:val="92240512"/>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F9EC9E2C">
      <w:start w:val="1"/>
      <w:numFmt w:val="bullet"/>
      <w:lvlText w:val="•"/>
      <w:lvlJc w:val="left"/>
      <w:pPr>
        <w:tabs>
          <w:tab w:val="num" w:pos="2880"/>
        </w:tabs>
        <w:ind w:left="2880" w:hanging="360"/>
      </w:pPr>
      <w:rPr>
        <w:rFonts w:ascii="Arial" w:hAnsi="Arial" w:hint="default"/>
      </w:rPr>
    </w:lvl>
    <w:lvl w:ilvl="4" w:tplc="95F8CEBA">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C235BE"/>
    <w:multiLevelType w:val="hybridMultilevel"/>
    <w:tmpl w:val="06121B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C54531"/>
    <w:multiLevelType w:val="hybridMultilevel"/>
    <w:tmpl w:val="3892C5AC"/>
    <w:lvl w:ilvl="0" w:tplc="CC264D44">
      <w:start w:val="1"/>
      <w:numFmt w:val="bullet"/>
      <w:lvlText w:val="•"/>
      <w:lvlJc w:val="left"/>
      <w:pPr>
        <w:tabs>
          <w:tab w:val="num" w:pos="720"/>
        </w:tabs>
        <w:ind w:left="720" w:hanging="360"/>
      </w:pPr>
      <w:rPr>
        <w:rFonts w:ascii="Arial" w:hAnsi="Arial" w:hint="default"/>
      </w:rPr>
    </w:lvl>
    <w:lvl w:ilvl="1" w:tplc="BB400F90">
      <w:start w:val="30628"/>
      <w:numFmt w:val="bullet"/>
      <w:lvlText w:val="–"/>
      <w:lvlJc w:val="left"/>
      <w:pPr>
        <w:tabs>
          <w:tab w:val="num" w:pos="1440"/>
        </w:tabs>
        <w:ind w:left="1440" w:hanging="360"/>
      </w:pPr>
      <w:rPr>
        <w:rFonts w:ascii="Arial" w:hAnsi="Arial" w:hint="default"/>
      </w:rPr>
    </w:lvl>
    <w:lvl w:ilvl="2" w:tplc="7452FE24" w:tentative="1">
      <w:start w:val="1"/>
      <w:numFmt w:val="bullet"/>
      <w:lvlText w:val="•"/>
      <w:lvlJc w:val="left"/>
      <w:pPr>
        <w:tabs>
          <w:tab w:val="num" w:pos="2160"/>
        </w:tabs>
        <w:ind w:left="2160" w:hanging="360"/>
      </w:pPr>
      <w:rPr>
        <w:rFonts w:ascii="Arial" w:hAnsi="Arial" w:hint="default"/>
      </w:rPr>
    </w:lvl>
    <w:lvl w:ilvl="3" w:tplc="6A4EB1B6" w:tentative="1">
      <w:start w:val="1"/>
      <w:numFmt w:val="bullet"/>
      <w:lvlText w:val="•"/>
      <w:lvlJc w:val="left"/>
      <w:pPr>
        <w:tabs>
          <w:tab w:val="num" w:pos="2880"/>
        </w:tabs>
        <w:ind w:left="2880" w:hanging="360"/>
      </w:pPr>
      <w:rPr>
        <w:rFonts w:ascii="Arial" w:hAnsi="Arial" w:hint="default"/>
      </w:rPr>
    </w:lvl>
    <w:lvl w:ilvl="4" w:tplc="3FBEBF1E" w:tentative="1">
      <w:start w:val="1"/>
      <w:numFmt w:val="bullet"/>
      <w:lvlText w:val="•"/>
      <w:lvlJc w:val="left"/>
      <w:pPr>
        <w:tabs>
          <w:tab w:val="num" w:pos="3600"/>
        </w:tabs>
        <w:ind w:left="3600" w:hanging="360"/>
      </w:pPr>
      <w:rPr>
        <w:rFonts w:ascii="Arial" w:hAnsi="Arial" w:hint="default"/>
      </w:rPr>
    </w:lvl>
    <w:lvl w:ilvl="5" w:tplc="5D1A0ED8" w:tentative="1">
      <w:start w:val="1"/>
      <w:numFmt w:val="bullet"/>
      <w:lvlText w:val="•"/>
      <w:lvlJc w:val="left"/>
      <w:pPr>
        <w:tabs>
          <w:tab w:val="num" w:pos="4320"/>
        </w:tabs>
        <w:ind w:left="4320" w:hanging="360"/>
      </w:pPr>
      <w:rPr>
        <w:rFonts w:ascii="Arial" w:hAnsi="Arial" w:hint="default"/>
      </w:rPr>
    </w:lvl>
    <w:lvl w:ilvl="6" w:tplc="C602F3C4" w:tentative="1">
      <w:start w:val="1"/>
      <w:numFmt w:val="bullet"/>
      <w:lvlText w:val="•"/>
      <w:lvlJc w:val="left"/>
      <w:pPr>
        <w:tabs>
          <w:tab w:val="num" w:pos="5040"/>
        </w:tabs>
        <w:ind w:left="5040" w:hanging="360"/>
      </w:pPr>
      <w:rPr>
        <w:rFonts w:ascii="Arial" w:hAnsi="Arial" w:hint="default"/>
      </w:rPr>
    </w:lvl>
    <w:lvl w:ilvl="7" w:tplc="69FA0B06" w:tentative="1">
      <w:start w:val="1"/>
      <w:numFmt w:val="bullet"/>
      <w:lvlText w:val="•"/>
      <w:lvlJc w:val="left"/>
      <w:pPr>
        <w:tabs>
          <w:tab w:val="num" w:pos="5760"/>
        </w:tabs>
        <w:ind w:left="5760" w:hanging="360"/>
      </w:pPr>
      <w:rPr>
        <w:rFonts w:ascii="Arial" w:hAnsi="Arial" w:hint="default"/>
      </w:rPr>
    </w:lvl>
    <w:lvl w:ilvl="8" w:tplc="55306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DA64CF"/>
    <w:multiLevelType w:val="hybridMultilevel"/>
    <w:tmpl w:val="3BC09494"/>
    <w:lvl w:ilvl="0" w:tplc="786061C0">
      <w:start w:val="1"/>
      <w:numFmt w:val="bullet"/>
      <w:lvlText w:val="•"/>
      <w:lvlJc w:val="left"/>
      <w:pPr>
        <w:tabs>
          <w:tab w:val="num" w:pos="720"/>
        </w:tabs>
        <w:ind w:left="720" w:hanging="360"/>
      </w:pPr>
      <w:rPr>
        <w:rFonts w:ascii="Arial" w:hAnsi="Arial" w:hint="default"/>
      </w:rPr>
    </w:lvl>
    <w:lvl w:ilvl="1" w:tplc="697A03B8">
      <w:numFmt w:val="none"/>
      <w:lvlText w:val=""/>
      <w:lvlJc w:val="left"/>
      <w:pPr>
        <w:tabs>
          <w:tab w:val="num" w:pos="360"/>
        </w:tabs>
      </w:pPr>
    </w:lvl>
    <w:lvl w:ilvl="2" w:tplc="E7BE1C18">
      <w:numFmt w:val="none"/>
      <w:lvlText w:val=""/>
      <w:lvlJc w:val="left"/>
      <w:pPr>
        <w:tabs>
          <w:tab w:val="num" w:pos="360"/>
        </w:tabs>
      </w:pPr>
    </w:lvl>
    <w:lvl w:ilvl="3" w:tplc="0602D0E8" w:tentative="1">
      <w:start w:val="1"/>
      <w:numFmt w:val="bullet"/>
      <w:lvlText w:val="•"/>
      <w:lvlJc w:val="left"/>
      <w:pPr>
        <w:tabs>
          <w:tab w:val="num" w:pos="2880"/>
        </w:tabs>
        <w:ind w:left="2880" w:hanging="360"/>
      </w:pPr>
      <w:rPr>
        <w:rFonts w:ascii="Arial" w:hAnsi="Arial" w:hint="default"/>
      </w:rPr>
    </w:lvl>
    <w:lvl w:ilvl="4" w:tplc="FEAA8A52" w:tentative="1">
      <w:start w:val="1"/>
      <w:numFmt w:val="bullet"/>
      <w:lvlText w:val="•"/>
      <w:lvlJc w:val="left"/>
      <w:pPr>
        <w:tabs>
          <w:tab w:val="num" w:pos="3600"/>
        </w:tabs>
        <w:ind w:left="3600" w:hanging="360"/>
      </w:pPr>
      <w:rPr>
        <w:rFonts w:ascii="Arial" w:hAnsi="Arial" w:hint="default"/>
      </w:rPr>
    </w:lvl>
    <w:lvl w:ilvl="5" w:tplc="D3A63C5A" w:tentative="1">
      <w:start w:val="1"/>
      <w:numFmt w:val="bullet"/>
      <w:lvlText w:val="•"/>
      <w:lvlJc w:val="left"/>
      <w:pPr>
        <w:tabs>
          <w:tab w:val="num" w:pos="4320"/>
        </w:tabs>
        <w:ind w:left="4320" w:hanging="360"/>
      </w:pPr>
      <w:rPr>
        <w:rFonts w:ascii="Arial" w:hAnsi="Arial" w:hint="default"/>
      </w:rPr>
    </w:lvl>
    <w:lvl w:ilvl="6" w:tplc="B01EFF8C" w:tentative="1">
      <w:start w:val="1"/>
      <w:numFmt w:val="bullet"/>
      <w:lvlText w:val="•"/>
      <w:lvlJc w:val="left"/>
      <w:pPr>
        <w:tabs>
          <w:tab w:val="num" w:pos="5040"/>
        </w:tabs>
        <w:ind w:left="5040" w:hanging="360"/>
      </w:pPr>
      <w:rPr>
        <w:rFonts w:ascii="Arial" w:hAnsi="Arial" w:hint="default"/>
      </w:rPr>
    </w:lvl>
    <w:lvl w:ilvl="7" w:tplc="6338EFC2" w:tentative="1">
      <w:start w:val="1"/>
      <w:numFmt w:val="bullet"/>
      <w:lvlText w:val="•"/>
      <w:lvlJc w:val="left"/>
      <w:pPr>
        <w:tabs>
          <w:tab w:val="num" w:pos="5760"/>
        </w:tabs>
        <w:ind w:left="5760" w:hanging="360"/>
      </w:pPr>
      <w:rPr>
        <w:rFonts w:ascii="Arial" w:hAnsi="Arial" w:hint="default"/>
      </w:rPr>
    </w:lvl>
    <w:lvl w:ilvl="8" w:tplc="74FA28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A5EB2"/>
    <w:multiLevelType w:val="hybridMultilevel"/>
    <w:tmpl w:val="0F1CF640"/>
    <w:lvl w:ilvl="0" w:tplc="B3A09BC0">
      <w:start w:val="1"/>
      <w:numFmt w:val="bullet"/>
      <w:lvlText w:val="•"/>
      <w:lvlJc w:val="left"/>
      <w:pPr>
        <w:tabs>
          <w:tab w:val="num" w:pos="720"/>
        </w:tabs>
        <w:ind w:left="720" w:hanging="360"/>
      </w:pPr>
      <w:rPr>
        <w:rFonts w:ascii="Arial" w:hAnsi="Arial" w:hint="default"/>
      </w:rPr>
    </w:lvl>
    <w:lvl w:ilvl="1" w:tplc="C2F22FD0">
      <w:numFmt w:val="none"/>
      <w:lvlText w:val=""/>
      <w:lvlJc w:val="left"/>
      <w:pPr>
        <w:tabs>
          <w:tab w:val="num" w:pos="360"/>
        </w:tabs>
      </w:pPr>
    </w:lvl>
    <w:lvl w:ilvl="2" w:tplc="CC52DED8" w:tentative="1">
      <w:start w:val="1"/>
      <w:numFmt w:val="bullet"/>
      <w:lvlText w:val="•"/>
      <w:lvlJc w:val="left"/>
      <w:pPr>
        <w:tabs>
          <w:tab w:val="num" w:pos="2160"/>
        </w:tabs>
        <w:ind w:left="2160" w:hanging="360"/>
      </w:pPr>
      <w:rPr>
        <w:rFonts w:ascii="Arial" w:hAnsi="Arial" w:hint="default"/>
      </w:rPr>
    </w:lvl>
    <w:lvl w:ilvl="3" w:tplc="8C3662FA" w:tentative="1">
      <w:start w:val="1"/>
      <w:numFmt w:val="bullet"/>
      <w:lvlText w:val="•"/>
      <w:lvlJc w:val="left"/>
      <w:pPr>
        <w:tabs>
          <w:tab w:val="num" w:pos="2880"/>
        </w:tabs>
        <w:ind w:left="2880" w:hanging="360"/>
      </w:pPr>
      <w:rPr>
        <w:rFonts w:ascii="Arial" w:hAnsi="Arial" w:hint="default"/>
      </w:rPr>
    </w:lvl>
    <w:lvl w:ilvl="4" w:tplc="975E990E" w:tentative="1">
      <w:start w:val="1"/>
      <w:numFmt w:val="bullet"/>
      <w:lvlText w:val="•"/>
      <w:lvlJc w:val="left"/>
      <w:pPr>
        <w:tabs>
          <w:tab w:val="num" w:pos="3600"/>
        </w:tabs>
        <w:ind w:left="3600" w:hanging="360"/>
      </w:pPr>
      <w:rPr>
        <w:rFonts w:ascii="Arial" w:hAnsi="Arial" w:hint="default"/>
      </w:rPr>
    </w:lvl>
    <w:lvl w:ilvl="5" w:tplc="1286E7B4" w:tentative="1">
      <w:start w:val="1"/>
      <w:numFmt w:val="bullet"/>
      <w:lvlText w:val="•"/>
      <w:lvlJc w:val="left"/>
      <w:pPr>
        <w:tabs>
          <w:tab w:val="num" w:pos="4320"/>
        </w:tabs>
        <w:ind w:left="4320" w:hanging="360"/>
      </w:pPr>
      <w:rPr>
        <w:rFonts w:ascii="Arial" w:hAnsi="Arial" w:hint="default"/>
      </w:rPr>
    </w:lvl>
    <w:lvl w:ilvl="6" w:tplc="755010EC" w:tentative="1">
      <w:start w:val="1"/>
      <w:numFmt w:val="bullet"/>
      <w:lvlText w:val="•"/>
      <w:lvlJc w:val="left"/>
      <w:pPr>
        <w:tabs>
          <w:tab w:val="num" w:pos="5040"/>
        </w:tabs>
        <w:ind w:left="5040" w:hanging="360"/>
      </w:pPr>
      <w:rPr>
        <w:rFonts w:ascii="Arial" w:hAnsi="Arial" w:hint="default"/>
      </w:rPr>
    </w:lvl>
    <w:lvl w:ilvl="7" w:tplc="86D62294" w:tentative="1">
      <w:start w:val="1"/>
      <w:numFmt w:val="bullet"/>
      <w:lvlText w:val="•"/>
      <w:lvlJc w:val="left"/>
      <w:pPr>
        <w:tabs>
          <w:tab w:val="num" w:pos="5760"/>
        </w:tabs>
        <w:ind w:left="5760" w:hanging="360"/>
      </w:pPr>
      <w:rPr>
        <w:rFonts w:ascii="Arial" w:hAnsi="Arial" w:hint="default"/>
      </w:rPr>
    </w:lvl>
    <w:lvl w:ilvl="8" w:tplc="D2C446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B2C75"/>
    <w:multiLevelType w:val="hybridMultilevel"/>
    <w:tmpl w:val="A36AC1D0"/>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2EEEDD3C">
      <w:start w:val="1"/>
      <w:numFmt w:val="bullet"/>
      <w:lvlText w:val="•"/>
      <w:lvlJc w:val="left"/>
      <w:pPr>
        <w:tabs>
          <w:tab w:val="num" w:pos="2160"/>
        </w:tabs>
        <w:ind w:left="2160" w:hanging="360"/>
      </w:pPr>
      <w:rPr>
        <w:rFonts w:ascii="Arial" w:hAnsi="Arial" w:hint="default"/>
      </w:rPr>
    </w:lvl>
    <w:lvl w:ilvl="3" w:tplc="F9EC9E2C">
      <w:start w:val="1"/>
      <w:numFmt w:val="bullet"/>
      <w:lvlText w:val="•"/>
      <w:lvlJc w:val="left"/>
      <w:pPr>
        <w:tabs>
          <w:tab w:val="num" w:pos="2880"/>
        </w:tabs>
        <w:ind w:left="2880" w:hanging="360"/>
      </w:pPr>
      <w:rPr>
        <w:rFonts w:ascii="Arial" w:hAnsi="Arial" w:hint="default"/>
      </w:rPr>
    </w:lvl>
    <w:lvl w:ilvl="4" w:tplc="95F8CEBA">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8E1685"/>
    <w:multiLevelType w:val="hybridMultilevel"/>
    <w:tmpl w:val="3702A974"/>
    <w:lvl w:ilvl="0" w:tplc="36D2A184">
      <w:start w:val="1"/>
      <w:numFmt w:val="bullet"/>
      <w:lvlText w:val="•"/>
      <w:lvlJc w:val="left"/>
      <w:pPr>
        <w:tabs>
          <w:tab w:val="num" w:pos="720"/>
        </w:tabs>
        <w:ind w:left="720" w:hanging="360"/>
      </w:pPr>
      <w:rPr>
        <w:rFonts w:ascii="Arial" w:hAnsi="Arial" w:hint="default"/>
      </w:rPr>
    </w:lvl>
    <w:lvl w:ilvl="1" w:tplc="ED28A21A">
      <w:start w:val="17991"/>
      <w:numFmt w:val="bullet"/>
      <w:lvlText w:val="–"/>
      <w:lvlJc w:val="left"/>
      <w:pPr>
        <w:tabs>
          <w:tab w:val="num" w:pos="1440"/>
        </w:tabs>
        <w:ind w:left="1440" w:hanging="360"/>
      </w:pPr>
      <w:rPr>
        <w:rFonts w:ascii="Arial" w:hAnsi="Arial" w:hint="default"/>
      </w:rPr>
    </w:lvl>
    <w:lvl w:ilvl="2" w:tplc="296A0FA4" w:tentative="1">
      <w:start w:val="1"/>
      <w:numFmt w:val="bullet"/>
      <w:lvlText w:val="•"/>
      <w:lvlJc w:val="left"/>
      <w:pPr>
        <w:tabs>
          <w:tab w:val="num" w:pos="2160"/>
        </w:tabs>
        <w:ind w:left="2160" w:hanging="360"/>
      </w:pPr>
      <w:rPr>
        <w:rFonts w:ascii="Arial" w:hAnsi="Arial" w:hint="default"/>
      </w:rPr>
    </w:lvl>
    <w:lvl w:ilvl="3" w:tplc="4262F3D2" w:tentative="1">
      <w:start w:val="1"/>
      <w:numFmt w:val="bullet"/>
      <w:lvlText w:val="•"/>
      <w:lvlJc w:val="left"/>
      <w:pPr>
        <w:tabs>
          <w:tab w:val="num" w:pos="2880"/>
        </w:tabs>
        <w:ind w:left="2880" w:hanging="360"/>
      </w:pPr>
      <w:rPr>
        <w:rFonts w:ascii="Arial" w:hAnsi="Arial" w:hint="default"/>
      </w:rPr>
    </w:lvl>
    <w:lvl w:ilvl="4" w:tplc="768C79EE" w:tentative="1">
      <w:start w:val="1"/>
      <w:numFmt w:val="bullet"/>
      <w:lvlText w:val="•"/>
      <w:lvlJc w:val="left"/>
      <w:pPr>
        <w:tabs>
          <w:tab w:val="num" w:pos="3600"/>
        </w:tabs>
        <w:ind w:left="3600" w:hanging="360"/>
      </w:pPr>
      <w:rPr>
        <w:rFonts w:ascii="Arial" w:hAnsi="Arial" w:hint="default"/>
      </w:rPr>
    </w:lvl>
    <w:lvl w:ilvl="5" w:tplc="3976D664" w:tentative="1">
      <w:start w:val="1"/>
      <w:numFmt w:val="bullet"/>
      <w:lvlText w:val="•"/>
      <w:lvlJc w:val="left"/>
      <w:pPr>
        <w:tabs>
          <w:tab w:val="num" w:pos="4320"/>
        </w:tabs>
        <w:ind w:left="4320" w:hanging="360"/>
      </w:pPr>
      <w:rPr>
        <w:rFonts w:ascii="Arial" w:hAnsi="Arial" w:hint="default"/>
      </w:rPr>
    </w:lvl>
    <w:lvl w:ilvl="6" w:tplc="5630F068" w:tentative="1">
      <w:start w:val="1"/>
      <w:numFmt w:val="bullet"/>
      <w:lvlText w:val="•"/>
      <w:lvlJc w:val="left"/>
      <w:pPr>
        <w:tabs>
          <w:tab w:val="num" w:pos="5040"/>
        </w:tabs>
        <w:ind w:left="5040" w:hanging="360"/>
      </w:pPr>
      <w:rPr>
        <w:rFonts w:ascii="Arial" w:hAnsi="Arial" w:hint="default"/>
      </w:rPr>
    </w:lvl>
    <w:lvl w:ilvl="7" w:tplc="45EE29DE" w:tentative="1">
      <w:start w:val="1"/>
      <w:numFmt w:val="bullet"/>
      <w:lvlText w:val="•"/>
      <w:lvlJc w:val="left"/>
      <w:pPr>
        <w:tabs>
          <w:tab w:val="num" w:pos="5760"/>
        </w:tabs>
        <w:ind w:left="5760" w:hanging="360"/>
      </w:pPr>
      <w:rPr>
        <w:rFonts w:ascii="Arial" w:hAnsi="Arial" w:hint="default"/>
      </w:rPr>
    </w:lvl>
    <w:lvl w:ilvl="8" w:tplc="AB8EF5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F529FC"/>
    <w:multiLevelType w:val="hybridMultilevel"/>
    <w:tmpl w:val="B8F4006E"/>
    <w:lvl w:ilvl="0" w:tplc="BF92D73A">
      <w:start w:val="1"/>
      <w:numFmt w:val="bullet"/>
      <w:lvlText w:val="•"/>
      <w:lvlJc w:val="left"/>
      <w:pPr>
        <w:tabs>
          <w:tab w:val="num" w:pos="720"/>
        </w:tabs>
        <w:ind w:left="720" w:hanging="360"/>
      </w:pPr>
      <w:rPr>
        <w:rFonts w:ascii="Arial" w:hAnsi="Arial" w:hint="default"/>
      </w:rPr>
    </w:lvl>
    <w:lvl w:ilvl="1" w:tplc="8096844C">
      <w:start w:val="17991"/>
      <w:numFmt w:val="bullet"/>
      <w:lvlText w:val="–"/>
      <w:lvlJc w:val="left"/>
      <w:pPr>
        <w:tabs>
          <w:tab w:val="num" w:pos="1440"/>
        </w:tabs>
        <w:ind w:left="1440" w:hanging="360"/>
      </w:pPr>
      <w:rPr>
        <w:rFonts w:ascii="Arial" w:hAnsi="Arial" w:hint="default"/>
      </w:rPr>
    </w:lvl>
    <w:lvl w:ilvl="2" w:tplc="B600BEF0">
      <w:start w:val="17991"/>
      <w:numFmt w:val="bullet"/>
      <w:lvlText w:val="•"/>
      <w:lvlJc w:val="left"/>
      <w:pPr>
        <w:tabs>
          <w:tab w:val="num" w:pos="2160"/>
        </w:tabs>
        <w:ind w:left="2160" w:hanging="360"/>
      </w:pPr>
      <w:rPr>
        <w:rFonts w:ascii="Arial" w:hAnsi="Arial" w:hint="default"/>
      </w:rPr>
    </w:lvl>
    <w:lvl w:ilvl="3" w:tplc="768A0486" w:tentative="1">
      <w:start w:val="1"/>
      <w:numFmt w:val="bullet"/>
      <w:lvlText w:val="•"/>
      <w:lvlJc w:val="left"/>
      <w:pPr>
        <w:tabs>
          <w:tab w:val="num" w:pos="2880"/>
        </w:tabs>
        <w:ind w:left="2880" w:hanging="360"/>
      </w:pPr>
      <w:rPr>
        <w:rFonts w:ascii="Arial" w:hAnsi="Arial" w:hint="default"/>
      </w:rPr>
    </w:lvl>
    <w:lvl w:ilvl="4" w:tplc="C8ACE37E" w:tentative="1">
      <w:start w:val="1"/>
      <w:numFmt w:val="bullet"/>
      <w:lvlText w:val="•"/>
      <w:lvlJc w:val="left"/>
      <w:pPr>
        <w:tabs>
          <w:tab w:val="num" w:pos="3600"/>
        </w:tabs>
        <w:ind w:left="3600" w:hanging="360"/>
      </w:pPr>
      <w:rPr>
        <w:rFonts w:ascii="Arial" w:hAnsi="Arial" w:hint="default"/>
      </w:rPr>
    </w:lvl>
    <w:lvl w:ilvl="5" w:tplc="EBE6648E" w:tentative="1">
      <w:start w:val="1"/>
      <w:numFmt w:val="bullet"/>
      <w:lvlText w:val="•"/>
      <w:lvlJc w:val="left"/>
      <w:pPr>
        <w:tabs>
          <w:tab w:val="num" w:pos="4320"/>
        </w:tabs>
        <w:ind w:left="4320" w:hanging="360"/>
      </w:pPr>
      <w:rPr>
        <w:rFonts w:ascii="Arial" w:hAnsi="Arial" w:hint="default"/>
      </w:rPr>
    </w:lvl>
    <w:lvl w:ilvl="6" w:tplc="0820FA3C" w:tentative="1">
      <w:start w:val="1"/>
      <w:numFmt w:val="bullet"/>
      <w:lvlText w:val="•"/>
      <w:lvlJc w:val="left"/>
      <w:pPr>
        <w:tabs>
          <w:tab w:val="num" w:pos="5040"/>
        </w:tabs>
        <w:ind w:left="5040" w:hanging="360"/>
      </w:pPr>
      <w:rPr>
        <w:rFonts w:ascii="Arial" w:hAnsi="Arial" w:hint="default"/>
      </w:rPr>
    </w:lvl>
    <w:lvl w:ilvl="7" w:tplc="5314A70C" w:tentative="1">
      <w:start w:val="1"/>
      <w:numFmt w:val="bullet"/>
      <w:lvlText w:val="•"/>
      <w:lvlJc w:val="left"/>
      <w:pPr>
        <w:tabs>
          <w:tab w:val="num" w:pos="5760"/>
        </w:tabs>
        <w:ind w:left="5760" w:hanging="360"/>
      </w:pPr>
      <w:rPr>
        <w:rFonts w:ascii="Arial" w:hAnsi="Arial" w:hint="default"/>
      </w:rPr>
    </w:lvl>
    <w:lvl w:ilvl="8" w:tplc="FFF4ED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A325EB"/>
    <w:multiLevelType w:val="hybridMultilevel"/>
    <w:tmpl w:val="E864025A"/>
    <w:lvl w:ilvl="0" w:tplc="9546316A">
      <w:start w:val="1"/>
      <w:numFmt w:val="bullet"/>
      <w:lvlText w:val="–"/>
      <w:lvlJc w:val="left"/>
      <w:pPr>
        <w:tabs>
          <w:tab w:val="num" w:pos="720"/>
        </w:tabs>
        <w:ind w:left="720" w:hanging="360"/>
      </w:pPr>
      <w:rPr>
        <w:rFonts w:ascii="Arial" w:hAnsi="Arial" w:hint="default"/>
      </w:rPr>
    </w:lvl>
    <w:lvl w:ilvl="1" w:tplc="16D65E28">
      <w:start w:val="1"/>
      <w:numFmt w:val="bullet"/>
      <w:lvlText w:val="–"/>
      <w:lvlJc w:val="left"/>
      <w:pPr>
        <w:tabs>
          <w:tab w:val="num" w:pos="1440"/>
        </w:tabs>
        <w:ind w:left="1440" w:hanging="360"/>
      </w:pPr>
      <w:rPr>
        <w:rFonts w:ascii="Arial" w:hAnsi="Arial" w:hint="default"/>
      </w:rPr>
    </w:lvl>
    <w:lvl w:ilvl="2" w:tplc="8FE6098A" w:tentative="1">
      <w:start w:val="1"/>
      <w:numFmt w:val="bullet"/>
      <w:lvlText w:val="–"/>
      <w:lvlJc w:val="left"/>
      <w:pPr>
        <w:tabs>
          <w:tab w:val="num" w:pos="2160"/>
        </w:tabs>
        <w:ind w:left="2160" w:hanging="360"/>
      </w:pPr>
      <w:rPr>
        <w:rFonts w:ascii="Arial" w:hAnsi="Arial" w:hint="default"/>
      </w:rPr>
    </w:lvl>
    <w:lvl w:ilvl="3" w:tplc="3FAAC282" w:tentative="1">
      <w:start w:val="1"/>
      <w:numFmt w:val="bullet"/>
      <w:lvlText w:val="–"/>
      <w:lvlJc w:val="left"/>
      <w:pPr>
        <w:tabs>
          <w:tab w:val="num" w:pos="2880"/>
        </w:tabs>
        <w:ind w:left="2880" w:hanging="360"/>
      </w:pPr>
      <w:rPr>
        <w:rFonts w:ascii="Arial" w:hAnsi="Arial" w:hint="default"/>
      </w:rPr>
    </w:lvl>
    <w:lvl w:ilvl="4" w:tplc="6B424BE0" w:tentative="1">
      <w:start w:val="1"/>
      <w:numFmt w:val="bullet"/>
      <w:lvlText w:val="–"/>
      <w:lvlJc w:val="left"/>
      <w:pPr>
        <w:tabs>
          <w:tab w:val="num" w:pos="3600"/>
        </w:tabs>
        <w:ind w:left="3600" w:hanging="360"/>
      </w:pPr>
      <w:rPr>
        <w:rFonts w:ascii="Arial" w:hAnsi="Arial" w:hint="default"/>
      </w:rPr>
    </w:lvl>
    <w:lvl w:ilvl="5" w:tplc="1DEC4232" w:tentative="1">
      <w:start w:val="1"/>
      <w:numFmt w:val="bullet"/>
      <w:lvlText w:val="–"/>
      <w:lvlJc w:val="left"/>
      <w:pPr>
        <w:tabs>
          <w:tab w:val="num" w:pos="4320"/>
        </w:tabs>
        <w:ind w:left="4320" w:hanging="360"/>
      </w:pPr>
      <w:rPr>
        <w:rFonts w:ascii="Arial" w:hAnsi="Arial" w:hint="default"/>
      </w:rPr>
    </w:lvl>
    <w:lvl w:ilvl="6" w:tplc="09369AF4" w:tentative="1">
      <w:start w:val="1"/>
      <w:numFmt w:val="bullet"/>
      <w:lvlText w:val="–"/>
      <w:lvlJc w:val="left"/>
      <w:pPr>
        <w:tabs>
          <w:tab w:val="num" w:pos="5040"/>
        </w:tabs>
        <w:ind w:left="5040" w:hanging="360"/>
      </w:pPr>
      <w:rPr>
        <w:rFonts w:ascii="Arial" w:hAnsi="Arial" w:hint="default"/>
      </w:rPr>
    </w:lvl>
    <w:lvl w:ilvl="7" w:tplc="04C68BFE" w:tentative="1">
      <w:start w:val="1"/>
      <w:numFmt w:val="bullet"/>
      <w:lvlText w:val="–"/>
      <w:lvlJc w:val="left"/>
      <w:pPr>
        <w:tabs>
          <w:tab w:val="num" w:pos="5760"/>
        </w:tabs>
        <w:ind w:left="5760" w:hanging="360"/>
      </w:pPr>
      <w:rPr>
        <w:rFonts w:ascii="Arial" w:hAnsi="Arial" w:hint="default"/>
      </w:rPr>
    </w:lvl>
    <w:lvl w:ilvl="8" w:tplc="F6469C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3970369"/>
    <w:multiLevelType w:val="hybridMultilevel"/>
    <w:tmpl w:val="1116C858"/>
    <w:lvl w:ilvl="0" w:tplc="6C92920E">
      <w:start w:val="1"/>
      <w:numFmt w:val="bullet"/>
      <w:lvlText w:val="•"/>
      <w:lvlJc w:val="left"/>
      <w:pPr>
        <w:tabs>
          <w:tab w:val="num" w:pos="720"/>
        </w:tabs>
        <w:ind w:left="720" w:hanging="360"/>
      </w:pPr>
      <w:rPr>
        <w:rFonts w:ascii="Arial" w:hAnsi="Arial" w:hint="default"/>
      </w:rPr>
    </w:lvl>
    <w:lvl w:ilvl="1" w:tplc="A0C65384">
      <w:numFmt w:val="none"/>
      <w:lvlText w:val=""/>
      <w:lvlJc w:val="left"/>
      <w:pPr>
        <w:tabs>
          <w:tab w:val="num" w:pos="360"/>
        </w:tabs>
      </w:pPr>
    </w:lvl>
    <w:lvl w:ilvl="2" w:tplc="53D4563E">
      <w:numFmt w:val="none"/>
      <w:lvlText w:val=""/>
      <w:lvlJc w:val="left"/>
      <w:pPr>
        <w:tabs>
          <w:tab w:val="num" w:pos="360"/>
        </w:tabs>
      </w:pPr>
    </w:lvl>
    <w:lvl w:ilvl="3" w:tplc="FA8EBCEA" w:tentative="1">
      <w:start w:val="1"/>
      <w:numFmt w:val="bullet"/>
      <w:lvlText w:val="•"/>
      <w:lvlJc w:val="left"/>
      <w:pPr>
        <w:tabs>
          <w:tab w:val="num" w:pos="2880"/>
        </w:tabs>
        <w:ind w:left="2880" w:hanging="360"/>
      </w:pPr>
      <w:rPr>
        <w:rFonts w:ascii="Arial" w:hAnsi="Arial" w:hint="default"/>
      </w:rPr>
    </w:lvl>
    <w:lvl w:ilvl="4" w:tplc="1346B492" w:tentative="1">
      <w:start w:val="1"/>
      <w:numFmt w:val="bullet"/>
      <w:lvlText w:val="•"/>
      <w:lvlJc w:val="left"/>
      <w:pPr>
        <w:tabs>
          <w:tab w:val="num" w:pos="3600"/>
        </w:tabs>
        <w:ind w:left="3600" w:hanging="360"/>
      </w:pPr>
      <w:rPr>
        <w:rFonts w:ascii="Arial" w:hAnsi="Arial" w:hint="default"/>
      </w:rPr>
    </w:lvl>
    <w:lvl w:ilvl="5" w:tplc="E0B2B2D6" w:tentative="1">
      <w:start w:val="1"/>
      <w:numFmt w:val="bullet"/>
      <w:lvlText w:val="•"/>
      <w:lvlJc w:val="left"/>
      <w:pPr>
        <w:tabs>
          <w:tab w:val="num" w:pos="4320"/>
        </w:tabs>
        <w:ind w:left="4320" w:hanging="360"/>
      </w:pPr>
      <w:rPr>
        <w:rFonts w:ascii="Arial" w:hAnsi="Arial" w:hint="default"/>
      </w:rPr>
    </w:lvl>
    <w:lvl w:ilvl="6" w:tplc="354026D8" w:tentative="1">
      <w:start w:val="1"/>
      <w:numFmt w:val="bullet"/>
      <w:lvlText w:val="•"/>
      <w:lvlJc w:val="left"/>
      <w:pPr>
        <w:tabs>
          <w:tab w:val="num" w:pos="5040"/>
        </w:tabs>
        <w:ind w:left="5040" w:hanging="360"/>
      </w:pPr>
      <w:rPr>
        <w:rFonts w:ascii="Arial" w:hAnsi="Arial" w:hint="default"/>
      </w:rPr>
    </w:lvl>
    <w:lvl w:ilvl="7" w:tplc="964A441E" w:tentative="1">
      <w:start w:val="1"/>
      <w:numFmt w:val="bullet"/>
      <w:lvlText w:val="•"/>
      <w:lvlJc w:val="left"/>
      <w:pPr>
        <w:tabs>
          <w:tab w:val="num" w:pos="5760"/>
        </w:tabs>
        <w:ind w:left="5760" w:hanging="360"/>
      </w:pPr>
      <w:rPr>
        <w:rFonts w:ascii="Arial" w:hAnsi="Arial" w:hint="default"/>
      </w:rPr>
    </w:lvl>
    <w:lvl w:ilvl="8" w:tplc="B9766F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3C6E9A"/>
    <w:multiLevelType w:val="hybridMultilevel"/>
    <w:tmpl w:val="18F84EA2"/>
    <w:lvl w:ilvl="0" w:tplc="F3A6D1C6">
      <w:start w:val="1"/>
      <w:numFmt w:val="bullet"/>
      <w:lvlText w:val="•"/>
      <w:lvlJc w:val="left"/>
      <w:pPr>
        <w:tabs>
          <w:tab w:val="num" w:pos="720"/>
        </w:tabs>
        <w:ind w:left="720" w:hanging="360"/>
      </w:pPr>
      <w:rPr>
        <w:rFonts w:ascii="Arial" w:hAnsi="Arial" w:hint="default"/>
      </w:rPr>
    </w:lvl>
    <w:lvl w:ilvl="1" w:tplc="2B72341A">
      <w:numFmt w:val="none"/>
      <w:lvlText w:val=""/>
      <w:lvlJc w:val="left"/>
      <w:pPr>
        <w:tabs>
          <w:tab w:val="num" w:pos="360"/>
        </w:tabs>
      </w:pPr>
    </w:lvl>
    <w:lvl w:ilvl="2" w:tplc="587296FC">
      <w:numFmt w:val="none"/>
      <w:lvlText w:val=""/>
      <w:lvlJc w:val="left"/>
      <w:pPr>
        <w:tabs>
          <w:tab w:val="num" w:pos="360"/>
        </w:tabs>
      </w:pPr>
    </w:lvl>
    <w:lvl w:ilvl="3" w:tplc="E1DAEFFA" w:tentative="1">
      <w:start w:val="1"/>
      <w:numFmt w:val="bullet"/>
      <w:lvlText w:val="•"/>
      <w:lvlJc w:val="left"/>
      <w:pPr>
        <w:tabs>
          <w:tab w:val="num" w:pos="2880"/>
        </w:tabs>
        <w:ind w:left="2880" w:hanging="360"/>
      </w:pPr>
      <w:rPr>
        <w:rFonts w:ascii="Arial" w:hAnsi="Arial" w:hint="default"/>
      </w:rPr>
    </w:lvl>
    <w:lvl w:ilvl="4" w:tplc="D3ECB31A" w:tentative="1">
      <w:start w:val="1"/>
      <w:numFmt w:val="bullet"/>
      <w:lvlText w:val="•"/>
      <w:lvlJc w:val="left"/>
      <w:pPr>
        <w:tabs>
          <w:tab w:val="num" w:pos="3600"/>
        </w:tabs>
        <w:ind w:left="3600" w:hanging="360"/>
      </w:pPr>
      <w:rPr>
        <w:rFonts w:ascii="Arial" w:hAnsi="Arial" w:hint="default"/>
      </w:rPr>
    </w:lvl>
    <w:lvl w:ilvl="5" w:tplc="6FB887B8" w:tentative="1">
      <w:start w:val="1"/>
      <w:numFmt w:val="bullet"/>
      <w:lvlText w:val="•"/>
      <w:lvlJc w:val="left"/>
      <w:pPr>
        <w:tabs>
          <w:tab w:val="num" w:pos="4320"/>
        </w:tabs>
        <w:ind w:left="4320" w:hanging="360"/>
      </w:pPr>
      <w:rPr>
        <w:rFonts w:ascii="Arial" w:hAnsi="Arial" w:hint="default"/>
      </w:rPr>
    </w:lvl>
    <w:lvl w:ilvl="6" w:tplc="1B6C3FCE" w:tentative="1">
      <w:start w:val="1"/>
      <w:numFmt w:val="bullet"/>
      <w:lvlText w:val="•"/>
      <w:lvlJc w:val="left"/>
      <w:pPr>
        <w:tabs>
          <w:tab w:val="num" w:pos="5040"/>
        </w:tabs>
        <w:ind w:left="5040" w:hanging="360"/>
      </w:pPr>
      <w:rPr>
        <w:rFonts w:ascii="Arial" w:hAnsi="Arial" w:hint="default"/>
      </w:rPr>
    </w:lvl>
    <w:lvl w:ilvl="7" w:tplc="4C387FC4" w:tentative="1">
      <w:start w:val="1"/>
      <w:numFmt w:val="bullet"/>
      <w:lvlText w:val="•"/>
      <w:lvlJc w:val="left"/>
      <w:pPr>
        <w:tabs>
          <w:tab w:val="num" w:pos="5760"/>
        </w:tabs>
        <w:ind w:left="5760" w:hanging="360"/>
      </w:pPr>
      <w:rPr>
        <w:rFonts w:ascii="Arial" w:hAnsi="Arial" w:hint="default"/>
      </w:rPr>
    </w:lvl>
    <w:lvl w:ilvl="8" w:tplc="E29279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63994309"/>
    <w:multiLevelType w:val="hybridMultilevel"/>
    <w:tmpl w:val="0A9EC526"/>
    <w:lvl w:ilvl="0" w:tplc="B4C8EF5A">
      <w:start w:val="1"/>
      <w:numFmt w:val="bullet"/>
      <w:lvlText w:val="•"/>
      <w:lvlJc w:val="left"/>
      <w:pPr>
        <w:tabs>
          <w:tab w:val="num" w:pos="720"/>
        </w:tabs>
        <w:ind w:left="720" w:hanging="360"/>
      </w:pPr>
      <w:rPr>
        <w:rFonts w:ascii="Arial" w:hAnsi="Arial" w:hint="default"/>
      </w:rPr>
    </w:lvl>
    <w:lvl w:ilvl="1" w:tplc="E5D24584">
      <w:start w:val="17991"/>
      <w:numFmt w:val="bullet"/>
      <w:lvlText w:val="–"/>
      <w:lvlJc w:val="left"/>
      <w:pPr>
        <w:tabs>
          <w:tab w:val="num" w:pos="1440"/>
        </w:tabs>
        <w:ind w:left="1440" w:hanging="360"/>
      </w:pPr>
      <w:rPr>
        <w:rFonts w:ascii="Arial" w:hAnsi="Arial" w:hint="default"/>
      </w:rPr>
    </w:lvl>
    <w:lvl w:ilvl="2" w:tplc="3DA65A94">
      <w:start w:val="17991"/>
      <w:numFmt w:val="bullet"/>
      <w:lvlText w:val="•"/>
      <w:lvlJc w:val="left"/>
      <w:pPr>
        <w:tabs>
          <w:tab w:val="num" w:pos="2160"/>
        </w:tabs>
        <w:ind w:left="2160" w:hanging="360"/>
      </w:pPr>
      <w:rPr>
        <w:rFonts w:ascii="Arial" w:hAnsi="Arial" w:hint="default"/>
      </w:rPr>
    </w:lvl>
    <w:lvl w:ilvl="3" w:tplc="48ECE824" w:tentative="1">
      <w:start w:val="1"/>
      <w:numFmt w:val="bullet"/>
      <w:lvlText w:val="•"/>
      <w:lvlJc w:val="left"/>
      <w:pPr>
        <w:tabs>
          <w:tab w:val="num" w:pos="2880"/>
        </w:tabs>
        <w:ind w:left="2880" w:hanging="360"/>
      </w:pPr>
      <w:rPr>
        <w:rFonts w:ascii="Arial" w:hAnsi="Arial" w:hint="default"/>
      </w:rPr>
    </w:lvl>
    <w:lvl w:ilvl="4" w:tplc="553C527A" w:tentative="1">
      <w:start w:val="1"/>
      <w:numFmt w:val="bullet"/>
      <w:lvlText w:val="•"/>
      <w:lvlJc w:val="left"/>
      <w:pPr>
        <w:tabs>
          <w:tab w:val="num" w:pos="3600"/>
        </w:tabs>
        <w:ind w:left="3600" w:hanging="360"/>
      </w:pPr>
      <w:rPr>
        <w:rFonts w:ascii="Arial" w:hAnsi="Arial" w:hint="default"/>
      </w:rPr>
    </w:lvl>
    <w:lvl w:ilvl="5" w:tplc="68D07D36" w:tentative="1">
      <w:start w:val="1"/>
      <w:numFmt w:val="bullet"/>
      <w:lvlText w:val="•"/>
      <w:lvlJc w:val="left"/>
      <w:pPr>
        <w:tabs>
          <w:tab w:val="num" w:pos="4320"/>
        </w:tabs>
        <w:ind w:left="4320" w:hanging="360"/>
      </w:pPr>
      <w:rPr>
        <w:rFonts w:ascii="Arial" w:hAnsi="Arial" w:hint="default"/>
      </w:rPr>
    </w:lvl>
    <w:lvl w:ilvl="6" w:tplc="FA5C4838" w:tentative="1">
      <w:start w:val="1"/>
      <w:numFmt w:val="bullet"/>
      <w:lvlText w:val="•"/>
      <w:lvlJc w:val="left"/>
      <w:pPr>
        <w:tabs>
          <w:tab w:val="num" w:pos="5040"/>
        </w:tabs>
        <w:ind w:left="5040" w:hanging="360"/>
      </w:pPr>
      <w:rPr>
        <w:rFonts w:ascii="Arial" w:hAnsi="Arial" w:hint="default"/>
      </w:rPr>
    </w:lvl>
    <w:lvl w:ilvl="7" w:tplc="1AB034A0" w:tentative="1">
      <w:start w:val="1"/>
      <w:numFmt w:val="bullet"/>
      <w:lvlText w:val="•"/>
      <w:lvlJc w:val="left"/>
      <w:pPr>
        <w:tabs>
          <w:tab w:val="num" w:pos="5760"/>
        </w:tabs>
        <w:ind w:left="5760" w:hanging="360"/>
      </w:pPr>
      <w:rPr>
        <w:rFonts w:ascii="Arial" w:hAnsi="Arial" w:hint="default"/>
      </w:rPr>
    </w:lvl>
    <w:lvl w:ilvl="8" w:tplc="606200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6B4746D3"/>
    <w:multiLevelType w:val="hybridMultilevel"/>
    <w:tmpl w:val="AD9EF25E"/>
    <w:lvl w:ilvl="0" w:tplc="D430D248">
      <w:start w:val="1"/>
      <w:numFmt w:val="bullet"/>
      <w:lvlText w:val="•"/>
      <w:lvlJc w:val="left"/>
      <w:pPr>
        <w:tabs>
          <w:tab w:val="num" w:pos="720"/>
        </w:tabs>
        <w:ind w:left="720" w:hanging="360"/>
      </w:pPr>
      <w:rPr>
        <w:rFonts w:ascii="Arial" w:hAnsi="Arial" w:hint="default"/>
      </w:rPr>
    </w:lvl>
    <w:lvl w:ilvl="1" w:tplc="CD1E82BE">
      <w:start w:val="18052"/>
      <w:numFmt w:val="bullet"/>
      <w:lvlText w:val="–"/>
      <w:lvlJc w:val="left"/>
      <w:pPr>
        <w:tabs>
          <w:tab w:val="num" w:pos="1440"/>
        </w:tabs>
        <w:ind w:left="1440" w:hanging="360"/>
      </w:pPr>
      <w:rPr>
        <w:rFonts w:ascii="Arial" w:hAnsi="Arial" w:hint="default"/>
      </w:rPr>
    </w:lvl>
    <w:lvl w:ilvl="2" w:tplc="2EEEDD3C">
      <w:start w:val="1"/>
      <w:numFmt w:val="bullet"/>
      <w:lvlText w:val="•"/>
      <w:lvlJc w:val="left"/>
      <w:pPr>
        <w:tabs>
          <w:tab w:val="num" w:pos="2160"/>
        </w:tabs>
        <w:ind w:left="2160" w:hanging="360"/>
      </w:pPr>
      <w:rPr>
        <w:rFonts w:ascii="Arial" w:hAnsi="Arial" w:hint="default"/>
      </w:rPr>
    </w:lvl>
    <w:lvl w:ilvl="3" w:tplc="08090005">
      <w:start w:val="1"/>
      <w:numFmt w:val="bullet"/>
      <w:lvlText w:val=""/>
      <w:lvlJc w:val="left"/>
      <w:pPr>
        <w:tabs>
          <w:tab w:val="num" w:pos="2880"/>
        </w:tabs>
        <w:ind w:left="2880" w:hanging="360"/>
      </w:pPr>
      <w:rPr>
        <w:rFonts w:ascii="Wingdings" w:hAnsi="Wingdings" w:hint="default"/>
      </w:rPr>
    </w:lvl>
    <w:lvl w:ilvl="4" w:tplc="95F8CEBA">
      <w:start w:val="1"/>
      <w:numFmt w:val="bullet"/>
      <w:lvlText w:val="•"/>
      <w:lvlJc w:val="left"/>
      <w:pPr>
        <w:tabs>
          <w:tab w:val="num" w:pos="3600"/>
        </w:tabs>
        <w:ind w:left="3600" w:hanging="360"/>
      </w:pPr>
      <w:rPr>
        <w:rFonts w:ascii="Arial" w:hAnsi="Arial" w:hint="default"/>
      </w:rPr>
    </w:lvl>
    <w:lvl w:ilvl="5" w:tplc="55087748" w:tentative="1">
      <w:start w:val="1"/>
      <w:numFmt w:val="bullet"/>
      <w:lvlText w:val="•"/>
      <w:lvlJc w:val="left"/>
      <w:pPr>
        <w:tabs>
          <w:tab w:val="num" w:pos="4320"/>
        </w:tabs>
        <w:ind w:left="4320" w:hanging="360"/>
      </w:pPr>
      <w:rPr>
        <w:rFonts w:ascii="Arial" w:hAnsi="Arial" w:hint="default"/>
      </w:rPr>
    </w:lvl>
    <w:lvl w:ilvl="6" w:tplc="8D744400" w:tentative="1">
      <w:start w:val="1"/>
      <w:numFmt w:val="bullet"/>
      <w:lvlText w:val="•"/>
      <w:lvlJc w:val="left"/>
      <w:pPr>
        <w:tabs>
          <w:tab w:val="num" w:pos="5040"/>
        </w:tabs>
        <w:ind w:left="5040" w:hanging="360"/>
      </w:pPr>
      <w:rPr>
        <w:rFonts w:ascii="Arial" w:hAnsi="Arial" w:hint="default"/>
      </w:rPr>
    </w:lvl>
    <w:lvl w:ilvl="7" w:tplc="2A2075C6" w:tentative="1">
      <w:start w:val="1"/>
      <w:numFmt w:val="bullet"/>
      <w:lvlText w:val="•"/>
      <w:lvlJc w:val="left"/>
      <w:pPr>
        <w:tabs>
          <w:tab w:val="num" w:pos="5760"/>
        </w:tabs>
        <w:ind w:left="5760" w:hanging="360"/>
      </w:pPr>
      <w:rPr>
        <w:rFonts w:ascii="Arial" w:hAnsi="Arial" w:hint="default"/>
      </w:rPr>
    </w:lvl>
    <w:lvl w:ilvl="8" w:tplc="992480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15:restartNumberingAfterBreak="0">
    <w:nsid w:val="730C7597"/>
    <w:multiLevelType w:val="hybridMultilevel"/>
    <w:tmpl w:val="7A4C1E44"/>
    <w:lvl w:ilvl="0" w:tplc="8E749F08">
      <w:start w:val="1"/>
      <w:numFmt w:val="bullet"/>
      <w:lvlText w:val="•"/>
      <w:lvlJc w:val="left"/>
      <w:pPr>
        <w:tabs>
          <w:tab w:val="num" w:pos="720"/>
        </w:tabs>
        <w:ind w:left="720" w:hanging="360"/>
      </w:pPr>
      <w:rPr>
        <w:rFonts w:ascii="Arial" w:hAnsi="Arial" w:hint="default"/>
      </w:rPr>
    </w:lvl>
    <w:lvl w:ilvl="1" w:tplc="98520338">
      <w:numFmt w:val="none"/>
      <w:lvlText w:val=""/>
      <w:lvlJc w:val="left"/>
      <w:pPr>
        <w:tabs>
          <w:tab w:val="num" w:pos="360"/>
        </w:tabs>
      </w:pPr>
    </w:lvl>
    <w:lvl w:ilvl="2" w:tplc="CBD8D7AE">
      <w:numFmt w:val="none"/>
      <w:lvlText w:val=""/>
      <w:lvlJc w:val="left"/>
      <w:pPr>
        <w:tabs>
          <w:tab w:val="num" w:pos="360"/>
        </w:tabs>
      </w:pPr>
    </w:lvl>
    <w:lvl w:ilvl="3" w:tplc="A7A612E2" w:tentative="1">
      <w:start w:val="1"/>
      <w:numFmt w:val="bullet"/>
      <w:lvlText w:val="•"/>
      <w:lvlJc w:val="left"/>
      <w:pPr>
        <w:tabs>
          <w:tab w:val="num" w:pos="2880"/>
        </w:tabs>
        <w:ind w:left="2880" w:hanging="360"/>
      </w:pPr>
      <w:rPr>
        <w:rFonts w:ascii="Arial" w:hAnsi="Arial" w:hint="default"/>
      </w:rPr>
    </w:lvl>
    <w:lvl w:ilvl="4" w:tplc="BEEE3116" w:tentative="1">
      <w:start w:val="1"/>
      <w:numFmt w:val="bullet"/>
      <w:lvlText w:val="•"/>
      <w:lvlJc w:val="left"/>
      <w:pPr>
        <w:tabs>
          <w:tab w:val="num" w:pos="3600"/>
        </w:tabs>
        <w:ind w:left="3600" w:hanging="360"/>
      </w:pPr>
      <w:rPr>
        <w:rFonts w:ascii="Arial" w:hAnsi="Arial" w:hint="default"/>
      </w:rPr>
    </w:lvl>
    <w:lvl w:ilvl="5" w:tplc="919A4B3A" w:tentative="1">
      <w:start w:val="1"/>
      <w:numFmt w:val="bullet"/>
      <w:lvlText w:val="•"/>
      <w:lvlJc w:val="left"/>
      <w:pPr>
        <w:tabs>
          <w:tab w:val="num" w:pos="4320"/>
        </w:tabs>
        <w:ind w:left="4320" w:hanging="360"/>
      </w:pPr>
      <w:rPr>
        <w:rFonts w:ascii="Arial" w:hAnsi="Arial" w:hint="default"/>
      </w:rPr>
    </w:lvl>
    <w:lvl w:ilvl="6" w:tplc="81ECB9A8" w:tentative="1">
      <w:start w:val="1"/>
      <w:numFmt w:val="bullet"/>
      <w:lvlText w:val="•"/>
      <w:lvlJc w:val="left"/>
      <w:pPr>
        <w:tabs>
          <w:tab w:val="num" w:pos="5040"/>
        </w:tabs>
        <w:ind w:left="5040" w:hanging="360"/>
      </w:pPr>
      <w:rPr>
        <w:rFonts w:ascii="Arial" w:hAnsi="Arial" w:hint="default"/>
      </w:rPr>
    </w:lvl>
    <w:lvl w:ilvl="7" w:tplc="0C06B214" w:tentative="1">
      <w:start w:val="1"/>
      <w:numFmt w:val="bullet"/>
      <w:lvlText w:val="•"/>
      <w:lvlJc w:val="left"/>
      <w:pPr>
        <w:tabs>
          <w:tab w:val="num" w:pos="5760"/>
        </w:tabs>
        <w:ind w:left="5760" w:hanging="360"/>
      </w:pPr>
      <w:rPr>
        <w:rFonts w:ascii="Arial" w:hAnsi="Arial" w:hint="default"/>
      </w:rPr>
    </w:lvl>
    <w:lvl w:ilvl="8" w:tplc="410852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462F81"/>
    <w:multiLevelType w:val="hybridMultilevel"/>
    <w:tmpl w:val="6638EA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332F4B"/>
    <w:multiLevelType w:val="hybridMultilevel"/>
    <w:tmpl w:val="10E6B8E4"/>
    <w:lvl w:ilvl="0" w:tplc="B99899A6">
      <w:start w:val="1"/>
      <w:numFmt w:val="bullet"/>
      <w:lvlText w:val="–"/>
      <w:lvlJc w:val="left"/>
      <w:pPr>
        <w:tabs>
          <w:tab w:val="num" w:pos="720"/>
        </w:tabs>
        <w:ind w:left="720" w:hanging="360"/>
      </w:pPr>
      <w:rPr>
        <w:rFonts w:ascii="Arial" w:hAnsi="Arial" w:hint="default"/>
      </w:rPr>
    </w:lvl>
    <w:lvl w:ilvl="1" w:tplc="0172D1CE">
      <w:start w:val="1"/>
      <w:numFmt w:val="bullet"/>
      <w:lvlText w:val="–"/>
      <w:lvlJc w:val="left"/>
      <w:pPr>
        <w:tabs>
          <w:tab w:val="num" w:pos="1440"/>
        </w:tabs>
        <w:ind w:left="1440" w:hanging="360"/>
      </w:pPr>
      <w:rPr>
        <w:rFonts w:ascii="Arial" w:hAnsi="Arial" w:hint="default"/>
      </w:rPr>
    </w:lvl>
    <w:lvl w:ilvl="2" w:tplc="657A84D6" w:tentative="1">
      <w:start w:val="1"/>
      <w:numFmt w:val="bullet"/>
      <w:lvlText w:val="–"/>
      <w:lvlJc w:val="left"/>
      <w:pPr>
        <w:tabs>
          <w:tab w:val="num" w:pos="2160"/>
        </w:tabs>
        <w:ind w:left="2160" w:hanging="360"/>
      </w:pPr>
      <w:rPr>
        <w:rFonts w:ascii="Arial" w:hAnsi="Arial" w:hint="default"/>
      </w:rPr>
    </w:lvl>
    <w:lvl w:ilvl="3" w:tplc="6854BF36" w:tentative="1">
      <w:start w:val="1"/>
      <w:numFmt w:val="bullet"/>
      <w:lvlText w:val="–"/>
      <w:lvlJc w:val="left"/>
      <w:pPr>
        <w:tabs>
          <w:tab w:val="num" w:pos="2880"/>
        </w:tabs>
        <w:ind w:left="2880" w:hanging="360"/>
      </w:pPr>
      <w:rPr>
        <w:rFonts w:ascii="Arial" w:hAnsi="Arial" w:hint="default"/>
      </w:rPr>
    </w:lvl>
    <w:lvl w:ilvl="4" w:tplc="34144222" w:tentative="1">
      <w:start w:val="1"/>
      <w:numFmt w:val="bullet"/>
      <w:lvlText w:val="–"/>
      <w:lvlJc w:val="left"/>
      <w:pPr>
        <w:tabs>
          <w:tab w:val="num" w:pos="3600"/>
        </w:tabs>
        <w:ind w:left="3600" w:hanging="360"/>
      </w:pPr>
      <w:rPr>
        <w:rFonts w:ascii="Arial" w:hAnsi="Arial" w:hint="default"/>
      </w:rPr>
    </w:lvl>
    <w:lvl w:ilvl="5" w:tplc="69DCBBF2" w:tentative="1">
      <w:start w:val="1"/>
      <w:numFmt w:val="bullet"/>
      <w:lvlText w:val="–"/>
      <w:lvlJc w:val="left"/>
      <w:pPr>
        <w:tabs>
          <w:tab w:val="num" w:pos="4320"/>
        </w:tabs>
        <w:ind w:left="4320" w:hanging="360"/>
      </w:pPr>
      <w:rPr>
        <w:rFonts w:ascii="Arial" w:hAnsi="Arial" w:hint="default"/>
      </w:rPr>
    </w:lvl>
    <w:lvl w:ilvl="6" w:tplc="CA9069E4" w:tentative="1">
      <w:start w:val="1"/>
      <w:numFmt w:val="bullet"/>
      <w:lvlText w:val="–"/>
      <w:lvlJc w:val="left"/>
      <w:pPr>
        <w:tabs>
          <w:tab w:val="num" w:pos="5040"/>
        </w:tabs>
        <w:ind w:left="5040" w:hanging="360"/>
      </w:pPr>
      <w:rPr>
        <w:rFonts w:ascii="Arial" w:hAnsi="Arial" w:hint="default"/>
      </w:rPr>
    </w:lvl>
    <w:lvl w:ilvl="7" w:tplc="B23891E0" w:tentative="1">
      <w:start w:val="1"/>
      <w:numFmt w:val="bullet"/>
      <w:lvlText w:val="–"/>
      <w:lvlJc w:val="left"/>
      <w:pPr>
        <w:tabs>
          <w:tab w:val="num" w:pos="5760"/>
        </w:tabs>
        <w:ind w:left="5760" w:hanging="360"/>
      </w:pPr>
      <w:rPr>
        <w:rFonts w:ascii="Arial" w:hAnsi="Arial" w:hint="default"/>
      </w:rPr>
    </w:lvl>
    <w:lvl w:ilvl="8" w:tplc="C736050C"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35"/>
  </w:num>
  <w:num w:numId="3">
    <w:abstractNumId w:val="3"/>
  </w:num>
  <w:num w:numId="4">
    <w:abstractNumId w:val="2"/>
  </w:num>
  <w:num w:numId="5">
    <w:abstractNumId w:val="25"/>
  </w:num>
  <w:num w:numId="6">
    <w:abstractNumId w:val="30"/>
  </w:num>
  <w:num w:numId="7">
    <w:abstractNumId w:val="0"/>
  </w:num>
  <w:num w:numId="8">
    <w:abstractNumId w:val="13"/>
  </w:num>
  <w:num w:numId="9">
    <w:abstractNumId w:val="20"/>
  </w:num>
  <w:num w:numId="10">
    <w:abstractNumId w:val="5"/>
  </w:num>
  <w:num w:numId="11">
    <w:abstractNumId w:val="34"/>
  </w:num>
  <w:num w:numId="12">
    <w:abstractNumId w:val="24"/>
  </w:num>
  <w:num w:numId="13">
    <w:abstractNumId w:val="4"/>
  </w:num>
  <w:num w:numId="14">
    <w:abstractNumId w:val="39"/>
  </w:num>
  <w:num w:numId="15">
    <w:abstractNumId w:val="12"/>
  </w:num>
  <w:num w:numId="16">
    <w:abstractNumId w:val="23"/>
  </w:num>
  <w:num w:numId="17">
    <w:abstractNumId w:val="32"/>
  </w:num>
  <w:num w:numId="18">
    <w:abstractNumId w:val="18"/>
  </w:num>
  <w:num w:numId="19">
    <w:abstractNumId w:val="38"/>
  </w:num>
  <w:num w:numId="20">
    <w:abstractNumId w:val="6"/>
  </w:num>
  <w:num w:numId="21">
    <w:abstractNumId w:val="22"/>
  </w:num>
  <w:num w:numId="22">
    <w:abstractNumId w:val="26"/>
  </w:num>
  <w:num w:numId="23">
    <w:abstractNumId w:val="40"/>
  </w:num>
  <w:num w:numId="24">
    <w:abstractNumId w:val="17"/>
  </w:num>
  <w:num w:numId="25">
    <w:abstractNumId w:val="9"/>
  </w:num>
  <w:num w:numId="26">
    <w:abstractNumId w:val="10"/>
  </w:num>
  <w:num w:numId="27">
    <w:abstractNumId w:val="29"/>
  </w:num>
  <w:num w:numId="28">
    <w:abstractNumId w:val="28"/>
  </w:num>
  <w:num w:numId="29">
    <w:abstractNumId w:val="7"/>
  </w:num>
  <w:num w:numId="30">
    <w:abstractNumId w:val="19"/>
  </w:num>
  <w:num w:numId="31">
    <w:abstractNumId w:val="14"/>
  </w:num>
  <w:num w:numId="32">
    <w:abstractNumId w:val="33"/>
  </w:num>
  <w:num w:numId="33">
    <w:abstractNumId w:val="27"/>
  </w:num>
  <w:num w:numId="34">
    <w:abstractNumId w:val="8"/>
  </w:num>
  <w:num w:numId="35">
    <w:abstractNumId w:val="11"/>
  </w:num>
  <w:num w:numId="36">
    <w:abstractNumId w:val="36"/>
  </w:num>
  <w:num w:numId="37">
    <w:abstractNumId w:val="15"/>
  </w:num>
  <w:num w:numId="38">
    <w:abstractNumId w:val="16"/>
  </w:num>
  <w:num w:numId="39">
    <w:abstractNumId w:val="31"/>
  </w:num>
  <w:num w:numId="40">
    <w:abstractNumId w:val="21"/>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28AB"/>
    <w:rsid w:val="00024DE8"/>
    <w:rsid w:val="00033EB7"/>
    <w:rsid w:val="000527CF"/>
    <w:rsid w:val="0006605C"/>
    <w:rsid w:val="00072D64"/>
    <w:rsid w:val="000755C5"/>
    <w:rsid w:val="0008730D"/>
    <w:rsid w:val="000B01F7"/>
    <w:rsid w:val="000D163E"/>
    <w:rsid w:val="000D534D"/>
    <w:rsid w:val="000E5EC2"/>
    <w:rsid w:val="000E6565"/>
    <w:rsid w:val="000F428C"/>
    <w:rsid w:val="000F5A44"/>
    <w:rsid w:val="00100F51"/>
    <w:rsid w:val="00112B44"/>
    <w:rsid w:val="00123091"/>
    <w:rsid w:val="0015540D"/>
    <w:rsid w:val="00173D1A"/>
    <w:rsid w:val="00187ADE"/>
    <w:rsid w:val="001A0F73"/>
    <w:rsid w:val="001A6C0E"/>
    <w:rsid w:val="001B3281"/>
    <w:rsid w:val="001B5B25"/>
    <w:rsid w:val="001D0568"/>
    <w:rsid w:val="001E3EC1"/>
    <w:rsid w:val="001E4503"/>
    <w:rsid w:val="001E74BB"/>
    <w:rsid w:val="001F64C5"/>
    <w:rsid w:val="00200158"/>
    <w:rsid w:val="00202E71"/>
    <w:rsid w:val="00203D4A"/>
    <w:rsid w:val="002062E8"/>
    <w:rsid w:val="002177EC"/>
    <w:rsid w:val="00230816"/>
    <w:rsid w:val="002323B2"/>
    <w:rsid w:val="002439A5"/>
    <w:rsid w:val="00275565"/>
    <w:rsid w:val="00280D74"/>
    <w:rsid w:val="00281801"/>
    <w:rsid w:val="002A53BA"/>
    <w:rsid w:val="00304C43"/>
    <w:rsid w:val="00322D14"/>
    <w:rsid w:val="00324CCC"/>
    <w:rsid w:val="0032715E"/>
    <w:rsid w:val="003329CE"/>
    <w:rsid w:val="00332E01"/>
    <w:rsid w:val="0034093D"/>
    <w:rsid w:val="003426D7"/>
    <w:rsid w:val="0034386D"/>
    <w:rsid w:val="003438AA"/>
    <w:rsid w:val="003525D1"/>
    <w:rsid w:val="0038386A"/>
    <w:rsid w:val="00386988"/>
    <w:rsid w:val="00387EBD"/>
    <w:rsid w:val="00397B64"/>
    <w:rsid w:val="003A6C0B"/>
    <w:rsid w:val="003B0DEC"/>
    <w:rsid w:val="003D3A49"/>
    <w:rsid w:val="003E3E2D"/>
    <w:rsid w:val="003E67A2"/>
    <w:rsid w:val="003F363C"/>
    <w:rsid w:val="00406074"/>
    <w:rsid w:val="004230BF"/>
    <w:rsid w:val="0042489C"/>
    <w:rsid w:val="00440176"/>
    <w:rsid w:val="004401FE"/>
    <w:rsid w:val="00446A90"/>
    <w:rsid w:val="00447994"/>
    <w:rsid w:val="00466CA6"/>
    <w:rsid w:val="00467C66"/>
    <w:rsid w:val="00471044"/>
    <w:rsid w:val="00481E68"/>
    <w:rsid w:val="00481F4D"/>
    <w:rsid w:val="0049439B"/>
    <w:rsid w:val="004D1073"/>
    <w:rsid w:val="004E2808"/>
    <w:rsid w:val="004F734E"/>
    <w:rsid w:val="00510199"/>
    <w:rsid w:val="0053252A"/>
    <w:rsid w:val="005347EB"/>
    <w:rsid w:val="00537FE2"/>
    <w:rsid w:val="00543855"/>
    <w:rsid w:val="0054389C"/>
    <w:rsid w:val="005479AE"/>
    <w:rsid w:val="00555FD0"/>
    <w:rsid w:val="00562DFE"/>
    <w:rsid w:val="005808E9"/>
    <w:rsid w:val="00584BFD"/>
    <w:rsid w:val="00590685"/>
    <w:rsid w:val="005973E8"/>
    <w:rsid w:val="005A1277"/>
    <w:rsid w:val="005C0EB0"/>
    <w:rsid w:val="005C100F"/>
    <w:rsid w:val="005C79FF"/>
    <w:rsid w:val="005D373D"/>
    <w:rsid w:val="005E3491"/>
    <w:rsid w:val="005E41C3"/>
    <w:rsid w:val="00607DAB"/>
    <w:rsid w:val="00616A4F"/>
    <w:rsid w:val="006219A4"/>
    <w:rsid w:val="00636E42"/>
    <w:rsid w:val="006402DD"/>
    <w:rsid w:val="00647725"/>
    <w:rsid w:val="00652F38"/>
    <w:rsid w:val="006544BD"/>
    <w:rsid w:val="00656B4C"/>
    <w:rsid w:val="00670F43"/>
    <w:rsid w:val="00676CFF"/>
    <w:rsid w:val="00685EFE"/>
    <w:rsid w:val="006917A2"/>
    <w:rsid w:val="006925D9"/>
    <w:rsid w:val="006A69F0"/>
    <w:rsid w:val="006A7548"/>
    <w:rsid w:val="006C48FC"/>
    <w:rsid w:val="006C656F"/>
    <w:rsid w:val="006D7986"/>
    <w:rsid w:val="006F4A8D"/>
    <w:rsid w:val="007070F1"/>
    <w:rsid w:val="00731CC2"/>
    <w:rsid w:val="00775CBB"/>
    <w:rsid w:val="00777331"/>
    <w:rsid w:val="0078039A"/>
    <w:rsid w:val="007824A3"/>
    <w:rsid w:val="007F6C85"/>
    <w:rsid w:val="0080113E"/>
    <w:rsid w:val="00820718"/>
    <w:rsid w:val="0082123B"/>
    <w:rsid w:val="0083017B"/>
    <w:rsid w:val="00853919"/>
    <w:rsid w:val="008630DE"/>
    <w:rsid w:val="00883B49"/>
    <w:rsid w:val="00884466"/>
    <w:rsid w:val="008954A9"/>
    <w:rsid w:val="00896E69"/>
    <w:rsid w:val="008B4BC4"/>
    <w:rsid w:val="008B5008"/>
    <w:rsid w:val="008C6E15"/>
    <w:rsid w:val="008D005F"/>
    <w:rsid w:val="008D20A4"/>
    <w:rsid w:val="008D46A9"/>
    <w:rsid w:val="008E1AFC"/>
    <w:rsid w:val="008F72FF"/>
    <w:rsid w:val="00902A59"/>
    <w:rsid w:val="00914480"/>
    <w:rsid w:val="00922372"/>
    <w:rsid w:val="00927F9D"/>
    <w:rsid w:val="00931E1A"/>
    <w:rsid w:val="00940509"/>
    <w:rsid w:val="00941579"/>
    <w:rsid w:val="00951FC6"/>
    <w:rsid w:val="00997A6D"/>
    <w:rsid w:val="009B0C6D"/>
    <w:rsid w:val="009B2004"/>
    <w:rsid w:val="009B2B37"/>
    <w:rsid w:val="009C0A63"/>
    <w:rsid w:val="009C32E0"/>
    <w:rsid w:val="009F07C7"/>
    <w:rsid w:val="009F680C"/>
    <w:rsid w:val="00A11EC7"/>
    <w:rsid w:val="00A16533"/>
    <w:rsid w:val="00A33077"/>
    <w:rsid w:val="00A570A6"/>
    <w:rsid w:val="00A57958"/>
    <w:rsid w:val="00A911B9"/>
    <w:rsid w:val="00B004E6"/>
    <w:rsid w:val="00B1000D"/>
    <w:rsid w:val="00B12D1E"/>
    <w:rsid w:val="00B568FE"/>
    <w:rsid w:val="00B73D45"/>
    <w:rsid w:val="00B75389"/>
    <w:rsid w:val="00BB31C1"/>
    <w:rsid w:val="00BB363E"/>
    <w:rsid w:val="00BB4682"/>
    <w:rsid w:val="00BC06A8"/>
    <w:rsid w:val="00BC5A37"/>
    <w:rsid w:val="00BE3F60"/>
    <w:rsid w:val="00C21AD5"/>
    <w:rsid w:val="00C21ECC"/>
    <w:rsid w:val="00C24CDA"/>
    <w:rsid w:val="00C27396"/>
    <w:rsid w:val="00C375AB"/>
    <w:rsid w:val="00C639C4"/>
    <w:rsid w:val="00C6529F"/>
    <w:rsid w:val="00C6714E"/>
    <w:rsid w:val="00C832CD"/>
    <w:rsid w:val="00C944E9"/>
    <w:rsid w:val="00C97133"/>
    <w:rsid w:val="00CA0016"/>
    <w:rsid w:val="00CA279C"/>
    <w:rsid w:val="00CB2B82"/>
    <w:rsid w:val="00CC2420"/>
    <w:rsid w:val="00CC7199"/>
    <w:rsid w:val="00CE747B"/>
    <w:rsid w:val="00CF6CE4"/>
    <w:rsid w:val="00D30D73"/>
    <w:rsid w:val="00D32F5F"/>
    <w:rsid w:val="00D57BEC"/>
    <w:rsid w:val="00D6303D"/>
    <w:rsid w:val="00D80C09"/>
    <w:rsid w:val="00D832DE"/>
    <w:rsid w:val="00D851E7"/>
    <w:rsid w:val="00D91323"/>
    <w:rsid w:val="00DA1EA1"/>
    <w:rsid w:val="00DB4A0B"/>
    <w:rsid w:val="00DC4F0A"/>
    <w:rsid w:val="00DD2A2B"/>
    <w:rsid w:val="00DD4BDE"/>
    <w:rsid w:val="00DD5DED"/>
    <w:rsid w:val="00DE1BEA"/>
    <w:rsid w:val="00DE3956"/>
    <w:rsid w:val="00DE3D3B"/>
    <w:rsid w:val="00E013CF"/>
    <w:rsid w:val="00E059E2"/>
    <w:rsid w:val="00E22AFE"/>
    <w:rsid w:val="00E24D7C"/>
    <w:rsid w:val="00E25F6A"/>
    <w:rsid w:val="00E31310"/>
    <w:rsid w:val="00E34795"/>
    <w:rsid w:val="00E421DD"/>
    <w:rsid w:val="00E42AF5"/>
    <w:rsid w:val="00E4527F"/>
    <w:rsid w:val="00E62CED"/>
    <w:rsid w:val="00E7510E"/>
    <w:rsid w:val="00E756E6"/>
    <w:rsid w:val="00E87326"/>
    <w:rsid w:val="00EA5D12"/>
    <w:rsid w:val="00EA75AF"/>
    <w:rsid w:val="00EB5AFF"/>
    <w:rsid w:val="00ED394C"/>
    <w:rsid w:val="00ED5A47"/>
    <w:rsid w:val="00F0057F"/>
    <w:rsid w:val="00F03B58"/>
    <w:rsid w:val="00F53632"/>
    <w:rsid w:val="00F54E73"/>
    <w:rsid w:val="00F73520"/>
    <w:rsid w:val="00F81DBD"/>
    <w:rsid w:val="00F91426"/>
    <w:rsid w:val="00F927BC"/>
    <w:rsid w:val="00F970F8"/>
    <w:rsid w:val="00FD1A99"/>
    <w:rsid w:val="00FF6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82CB6"/>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FC6"/>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E8732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 ?? 字符,????? 字符,???? 字符,リスト段落 字符,Lista1 字符,R4_bullets 字符,列出段落1 字符,中等深浅网格 1 - 着色 21 字符,列表段落 字符,列表段落1 字符,—ño’i—Ž 字符,¥¡¡¡¡ì¬º¥¹¥È¶ÎÂä 字符,ÁÐ³ö¶ÎÂä 字符,¥ê¥¹¥È¶ÎÂä 字符,1st level - Bullet List Paragraph 字符,Paragrafo elenco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character" w:customStyle="1" w:styleId="40">
    <w:name w:val="标题 4 字符"/>
    <w:basedOn w:val="a0"/>
    <w:link w:val="4"/>
    <w:uiPriority w:val="9"/>
    <w:semiHidden/>
    <w:rsid w:val="00E87326"/>
    <w:rPr>
      <w:rFonts w:asciiTheme="majorHAnsi" w:eastAsiaTheme="majorEastAsia" w:hAnsiTheme="majorHAnsi" w:cstheme="majorBidi"/>
      <w:b/>
      <w:bCs/>
      <w:sz w:val="28"/>
      <w:szCs w:val="28"/>
    </w:rPr>
  </w:style>
  <w:style w:type="paragraph" w:styleId="ab">
    <w:name w:val="Body Text"/>
    <w:basedOn w:val="a"/>
    <w:link w:val="ac"/>
    <w:qFormat/>
    <w:rsid w:val="001B3281"/>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c">
    <w:name w:val="正文文本 字符"/>
    <w:basedOn w:val="a0"/>
    <w:link w:val="ab"/>
    <w:qFormat/>
    <w:rsid w:val="001B3281"/>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04085">
      <w:bodyDiv w:val="1"/>
      <w:marLeft w:val="0"/>
      <w:marRight w:val="0"/>
      <w:marTop w:val="0"/>
      <w:marBottom w:val="0"/>
      <w:divBdr>
        <w:top w:val="none" w:sz="0" w:space="0" w:color="auto"/>
        <w:left w:val="none" w:sz="0" w:space="0" w:color="auto"/>
        <w:bottom w:val="none" w:sz="0" w:space="0" w:color="auto"/>
        <w:right w:val="none" w:sz="0" w:space="0" w:color="auto"/>
      </w:divBdr>
      <w:divsChild>
        <w:div w:id="1927420228">
          <w:marLeft w:val="547"/>
          <w:marRight w:val="0"/>
          <w:marTop w:val="86"/>
          <w:marBottom w:val="0"/>
          <w:divBdr>
            <w:top w:val="none" w:sz="0" w:space="0" w:color="auto"/>
            <w:left w:val="none" w:sz="0" w:space="0" w:color="auto"/>
            <w:bottom w:val="none" w:sz="0" w:space="0" w:color="auto"/>
            <w:right w:val="none" w:sz="0" w:space="0" w:color="auto"/>
          </w:divBdr>
        </w:div>
        <w:div w:id="1522158801">
          <w:marLeft w:val="1166"/>
          <w:marRight w:val="0"/>
          <w:marTop w:val="86"/>
          <w:marBottom w:val="0"/>
          <w:divBdr>
            <w:top w:val="none" w:sz="0" w:space="0" w:color="auto"/>
            <w:left w:val="none" w:sz="0" w:space="0" w:color="auto"/>
            <w:bottom w:val="none" w:sz="0" w:space="0" w:color="auto"/>
            <w:right w:val="none" w:sz="0" w:space="0" w:color="auto"/>
          </w:divBdr>
        </w:div>
        <w:div w:id="156507212">
          <w:marLeft w:val="1166"/>
          <w:marRight w:val="0"/>
          <w:marTop w:val="86"/>
          <w:marBottom w:val="0"/>
          <w:divBdr>
            <w:top w:val="none" w:sz="0" w:space="0" w:color="auto"/>
            <w:left w:val="none" w:sz="0" w:space="0" w:color="auto"/>
            <w:bottom w:val="none" w:sz="0" w:space="0" w:color="auto"/>
            <w:right w:val="none" w:sz="0" w:space="0" w:color="auto"/>
          </w:divBdr>
        </w:div>
        <w:div w:id="275605351">
          <w:marLeft w:val="1166"/>
          <w:marRight w:val="0"/>
          <w:marTop w:val="86"/>
          <w:marBottom w:val="0"/>
          <w:divBdr>
            <w:top w:val="none" w:sz="0" w:space="0" w:color="auto"/>
            <w:left w:val="none" w:sz="0" w:space="0" w:color="auto"/>
            <w:bottom w:val="none" w:sz="0" w:space="0" w:color="auto"/>
            <w:right w:val="none" w:sz="0" w:space="0" w:color="auto"/>
          </w:divBdr>
        </w:div>
        <w:div w:id="682900568">
          <w:marLeft w:val="1166"/>
          <w:marRight w:val="0"/>
          <w:marTop w:val="86"/>
          <w:marBottom w:val="0"/>
          <w:divBdr>
            <w:top w:val="none" w:sz="0" w:space="0" w:color="auto"/>
            <w:left w:val="none" w:sz="0" w:space="0" w:color="auto"/>
            <w:bottom w:val="none" w:sz="0" w:space="0" w:color="auto"/>
            <w:right w:val="none" w:sz="0" w:space="0" w:color="auto"/>
          </w:divBdr>
        </w:div>
        <w:div w:id="1612932958">
          <w:marLeft w:val="1166"/>
          <w:marRight w:val="0"/>
          <w:marTop w:val="86"/>
          <w:marBottom w:val="0"/>
          <w:divBdr>
            <w:top w:val="none" w:sz="0" w:space="0" w:color="auto"/>
            <w:left w:val="none" w:sz="0" w:space="0" w:color="auto"/>
            <w:bottom w:val="none" w:sz="0" w:space="0" w:color="auto"/>
            <w:right w:val="none" w:sz="0" w:space="0" w:color="auto"/>
          </w:divBdr>
        </w:div>
        <w:div w:id="1392651398">
          <w:marLeft w:val="547"/>
          <w:marRight w:val="0"/>
          <w:marTop w:val="86"/>
          <w:marBottom w:val="0"/>
          <w:divBdr>
            <w:top w:val="none" w:sz="0" w:space="0" w:color="auto"/>
            <w:left w:val="none" w:sz="0" w:space="0" w:color="auto"/>
            <w:bottom w:val="none" w:sz="0" w:space="0" w:color="auto"/>
            <w:right w:val="none" w:sz="0" w:space="0" w:color="auto"/>
          </w:divBdr>
        </w:div>
        <w:div w:id="1516578665">
          <w:marLeft w:val="1166"/>
          <w:marRight w:val="0"/>
          <w:marTop w:val="86"/>
          <w:marBottom w:val="0"/>
          <w:divBdr>
            <w:top w:val="none" w:sz="0" w:space="0" w:color="auto"/>
            <w:left w:val="none" w:sz="0" w:space="0" w:color="auto"/>
            <w:bottom w:val="none" w:sz="0" w:space="0" w:color="auto"/>
            <w:right w:val="none" w:sz="0" w:space="0" w:color="auto"/>
          </w:divBdr>
        </w:div>
        <w:div w:id="1190604375">
          <w:marLeft w:val="1166"/>
          <w:marRight w:val="0"/>
          <w:marTop w:val="86"/>
          <w:marBottom w:val="0"/>
          <w:divBdr>
            <w:top w:val="none" w:sz="0" w:space="0" w:color="auto"/>
            <w:left w:val="none" w:sz="0" w:space="0" w:color="auto"/>
            <w:bottom w:val="none" w:sz="0" w:space="0" w:color="auto"/>
            <w:right w:val="none" w:sz="0" w:space="0" w:color="auto"/>
          </w:divBdr>
        </w:div>
        <w:div w:id="631592415">
          <w:marLeft w:val="547"/>
          <w:marRight w:val="0"/>
          <w:marTop w:val="86"/>
          <w:marBottom w:val="0"/>
          <w:divBdr>
            <w:top w:val="none" w:sz="0" w:space="0" w:color="auto"/>
            <w:left w:val="none" w:sz="0" w:space="0" w:color="auto"/>
            <w:bottom w:val="none" w:sz="0" w:space="0" w:color="auto"/>
            <w:right w:val="none" w:sz="0" w:space="0" w:color="auto"/>
          </w:divBdr>
        </w:div>
        <w:div w:id="1899854038">
          <w:marLeft w:val="1166"/>
          <w:marRight w:val="0"/>
          <w:marTop w:val="86"/>
          <w:marBottom w:val="0"/>
          <w:divBdr>
            <w:top w:val="none" w:sz="0" w:space="0" w:color="auto"/>
            <w:left w:val="none" w:sz="0" w:space="0" w:color="auto"/>
            <w:bottom w:val="none" w:sz="0" w:space="0" w:color="auto"/>
            <w:right w:val="none" w:sz="0" w:space="0" w:color="auto"/>
          </w:divBdr>
        </w:div>
        <w:div w:id="475881768">
          <w:marLeft w:val="1800"/>
          <w:marRight w:val="0"/>
          <w:marTop w:val="86"/>
          <w:marBottom w:val="0"/>
          <w:divBdr>
            <w:top w:val="none" w:sz="0" w:space="0" w:color="auto"/>
            <w:left w:val="none" w:sz="0" w:space="0" w:color="auto"/>
            <w:bottom w:val="none" w:sz="0" w:space="0" w:color="auto"/>
            <w:right w:val="none" w:sz="0" w:space="0" w:color="auto"/>
          </w:divBdr>
        </w:div>
        <w:div w:id="24990522">
          <w:marLeft w:val="1800"/>
          <w:marRight w:val="0"/>
          <w:marTop w:val="86"/>
          <w:marBottom w:val="0"/>
          <w:divBdr>
            <w:top w:val="none" w:sz="0" w:space="0" w:color="auto"/>
            <w:left w:val="none" w:sz="0" w:space="0" w:color="auto"/>
            <w:bottom w:val="none" w:sz="0" w:space="0" w:color="auto"/>
            <w:right w:val="none" w:sz="0" w:space="0" w:color="auto"/>
          </w:divBdr>
        </w:div>
        <w:div w:id="1031220938">
          <w:marLeft w:val="1166"/>
          <w:marRight w:val="0"/>
          <w:marTop w:val="86"/>
          <w:marBottom w:val="0"/>
          <w:divBdr>
            <w:top w:val="none" w:sz="0" w:space="0" w:color="auto"/>
            <w:left w:val="none" w:sz="0" w:space="0" w:color="auto"/>
            <w:bottom w:val="none" w:sz="0" w:space="0" w:color="auto"/>
            <w:right w:val="none" w:sz="0" w:space="0" w:color="auto"/>
          </w:divBdr>
        </w:div>
      </w:divsChild>
    </w:div>
    <w:div w:id="252663108">
      <w:bodyDiv w:val="1"/>
      <w:marLeft w:val="0"/>
      <w:marRight w:val="0"/>
      <w:marTop w:val="0"/>
      <w:marBottom w:val="0"/>
      <w:divBdr>
        <w:top w:val="none" w:sz="0" w:space="0" w:color="auto"/>
        <w:left w:val="none" w:sz="0" w:space="0" w:color="auto"/>
        <w:bottom w:val="none" w:sz="0" w:space="0" w:color="auto"/>
        <w:right w:val="none" w:sz="0" w:space="0" w:color="auto"/>
      </w:divBdr>
    </w:div>
    <w:div w:id="265505629">
      <w:bodyDiv w:val="1"/>
      <w:marLeft w:val="0"/>
      <w:marRight w:val="0"/>
      <w:marTop w:val="0"/>
      <w:marBottom w:val="0"/>
      <w:divBdr>
        <w:top w:val="none" w:sz="0" w:space="0" w:color="auto"/>
        <w:left w:val="none" w:sz="0" w:space="0" w:color="auto"/>
        <w:bottom w:val="none" w:sz="0" w:space="0" w:color="auto"/>
        <w:right w:val="none" w:sz="0" w:space="0" w:color="auto"/>
      </w:divBdr>
      <w:divsChild>
        <w:div w:id="672878948">
          <w:marLeft w:val="1166"/>
          <w:marRight w:val="0"/>
          <w:marTop w:val="106"/>
          <w:marBottom w:val="0"/>
          <w:divBdr>
            <w:top w:val="none" w:sz="0" w:space="0" w:color="auto"/>
            <w:left w:val="none" w:sz="0" w:space="0" w:color="auto"/>
            <w:bottom w:val="none" w:sz="0" w:space="0" w:color="auto"/>
            <w:right w:val="none" w:sz="0" w:space="0" w:color="auto"/>
          </w:divBdr>
        </w:div>
      </w:divsChild>
    </w:div>
    <w:div w:id="412243547">
      <w:bodyDiv w:val="1"/>
      <w:marLeft w:val="0"/>
      <w:marRight w:val="0"/>
      <w:marTop w:val="0"/>
      <w:marBottom w:val="0"/>
      <w:divBdr>
        <w:top w:val="none" w:sz="0" w:space="0" w:color="auto"/>
        <w:left w:val="none" w:sz="0" w:space="0" w:color="auto"/>
        <w:bottom w:val="none" w:sz="0" w:space="0" w:color="auto"/>
        <w:right w:val="none" w:sz="0" w:space="0" w:color="auto"/>
      </w:divBdr>
      <w:divsChild>
        <w:div w:id="431513406">
          <w:marLeft w:val="547"/>
          <w:marRight w:val="0"/>
          <w:marTop w:val="154"/>
          <w:marBottom w:val="0"/>
          <w:divBdr>
            <w:top w:val="none" w:sz="0" w:space="0" w:color="auto"/>
            <w:left w:val="none" w:sz="0" w:space="0" w:color="auto"/>
            <w:bottom w:val="none" w:sz="0" w:space="0" w:color="auto"/>
            <w:right w:val="none" w:sz="0" w:space="0" w:color="auto"/>
          </w:divBdr>
        </w:div>
        <w:div w:id="245002122">
          <w:marLeft w:val="1166"/>
          <w:marRight w:val="0"/>
          <w:marTop w:val="134"/>
          <w:marBottom w:val="0"/>
          <w:divBdr>
            <w:top w:val="none" w:sz="0" w:space="0" w:color="auto"/>
            <w:left w:val="none" w:sz="0" w:space="0" w:color="auto"/>
            <w:bottom w:val="none" w:sz="0" w:space="0" w:color="auto"/>
            <w:right w:val="none" w:sz="0" w:space="0" w:color="auto"/>
          </w:divBdr>
        </w:div>
        <w:div w:id="754788949">
          <w:marLeft w:val="547"/>
          <w:marRight w:val="0"/>
          <w:marTop w:val="154"/>
          <w:marBottom w:val="0"/>
          <w:divBdr>
            <w:top w:val="none" w:sz="0" w:space="0" w:color="auto"/>
            <w:left w:val="none" w:sz="0" w:space="0" w:color="auto"/>
            <w:bottom w:val="none" w:sz="0" w:space="0" w:color="auto"/>
            <w:right w:val="none" w:sz="0" w:space="0" w:color="auto"/>
          </w:divBdr>
        </w:div>
        <w:div w:id="68044043">
          <w:marLeft w:val="1166"/>
          <w:marRight w:val="0"/>
          <w:marTop w:val="134"/>
          <w:marBottom w:val="0"/>
          <w:divBdr>
            <w:top w:val="none" w:sz="0" w:space="0" w:color="auto"/>
            <w:left w:val="none" w:sz="0" w:space="0" w:color="auto"/>
            <w:bottom w:val="none" w:sz="0" w:space="0" w:color="auto"/>
            <w:right w:val="none" w:sz="0" w:space="0" w:color="auto"/>
          </w:divBdr>
        </w:div>
        <w:div w:id="672492809">
          <w:marLeft w:val="1166"/>
          <w:marRight w:val="0"/>
          <w:marTop w:val="134"/>
          <w:marBottom w:val="0"/>
          <w:divBdr>
            <w:top w:val="none" w:sz="0" w:space="0" w:color="auto"/>
            <w:left w:val="none" w:sz="0" w:space="0" w:color="auto"/>
            <w:bottom w:val="none" w:sz="0" w:space="0" w:color="auto"/>
            <w:right w:val="none" w:sz="0" w:space="0" w:color="auto"/>
          </w:divBdr>
        </w:div>
      </w:divsChild>
    </w:div>
    <w:div w:id="442917753">
      <w:bodyDiv w:val="1"/>
      <w:marLeft w:val="0"/>
      <w:marRight w:val="0"/>
      <w:marTop w:val="0"/>
      <w:marBottom w:val="0"/>
      <w:divBdr>
        <w:top w:val="none" w:sz="0" w:space="0" w:color="auto"/>
        <w:left w:val="none" w:sz="0" w:space="0" w:color="auto"/>
        <w:bottom w:val="none" w:sz="0" w:space="0" w:color="auto"/>
        <w:right w:val="none" w:sz="0" w:space="0" w:color="auto"/>
      </w:divBdr>
      <w:divsChild>
        <w:div w:id="1663653901">
          <w:marLeft w:val="547"/>
          <w:marRight w:val="0"/>
          <w:marTop w:val="120"/>
          <w:marBottom w:val="0"/>
          <w:divBdr>
            <w:top w:val="none" w:sz="0" w:space="0" w:color="auto"/>
            <w:left w:val="none" w:sz="0" w:space="0" w:color="auto"/>
            <w:bottom w:val="none" w:sz="0" w:space="0" w:color="auto"/>
            <w:right w:val="none" w:sz="0" w:space="0" w:color="auto"/>
          </w:divBdr>
        </w:div>
        <w:div w:id="871844426">
          <w:marLeft w:val="1166"/>
          <w:marRight w:val="0"/>
          <w:marTop w:val="106"/>
          <w:marBottom w:val="0"/>
          <w:divBdr>
            <w:top w:val="none" w:sz="0" w:space="0" w:color="auto"/>
            <w:left w:val="none" w:sz="0" w:space="0" w:color="auto"/>
            <w:bottom w:val="none" w:sz="0" w:space="0" w:color="auto"/>
            <w:right w:val="none" w:sz="0" w:space="0" w:color="auto"/>
          </w:divBdr>
        </w:div>
        <w:div w:id="1647856676">
          <w:marLeft w:val="1166"/>
          <w:marRight w:val="0"/>
          <w:marTop w:val="106"/>
          <w:marBottom w:val="0"/>
          <w:divBdr>
            <w:top w:val="none" w:sz="0" w:space="0" w:color="auto"/>
            <w:left w:val="none" w:sz="0" w:space="0" w:color="auto"/>
            <w:bottom w:val="none" w:sz="0" w:space="0" w:color="auto"/>
            <w:right w:val="none" w:sz="0" w:space="0" w:color="auto"/>
          </w:divBdr>
        </w:div>
        <w:div w:id="1750302003">
          <w:marLeft w:val="1166"/>
          <w:marRight w:val="0"/>
          <w:marTop w:val="106"/>
          <w:marBottom w:val="0"/>
          <w:divBdr>
            <w:top w:val="none" w:sz="0" w:space="0" w:color="auto"/>
            <w:left w:val="none" w:sz="0" w:space="0" w:color="auto"/>
            <w:bottom w:val="none" w:sz="0" w:space="0" w:color="auto"/>
            <w:right w:val="none" w:sz="0" w:space="0" w:color="auto"/>
          </w:divBdr>
        </w:div>
        <w:div w:id="708189662">
          <w:marLeft w:val="547"/>
          <w:marRight w:val="0"/>
          <w:marTop w:val="120"/>
          <w:marBottom w:val="0"/>
          <w:divBdr>
            <w:top w:val="none" w:sz="0" w:space="0" w:color="auto"/>
            <w:left w:val="none" w:sz="0" w:space="0" w:color="auto"/>
            <w:bottom w:val="none" w:sz="0" w:space="0" w:color="auto"/>
            <w:right w:val="none" w:sz="0" w:space="0" w:color="auto"/>
          </w:divBdr>
        </w:div>
        <w:div w:id="1186408862">
          <w:marLeft w:val="547"/>
          <w:marRight w:val="0"/>
          <w:marTop w:val="120"/>
          <w:marBottom w:val="0"/>
          <w:divBdr>
            <w:top w:val="none" w:sz="0" w:space="0" w:color="auto"/>
            <w:left w:val="none" w:sz="0" w:space="0" w:color="auto"/>
            <w:bottom w:val="none" w:sz="0" w:space="0" w:color="auto"/>
            <w:right w:val="none" w:sz="0" w:space="0" w:color="auto"/>
          </w:divBdr>
        </w:div>
        <w:div w:id="1284382734">
          <w:marLeft w:val="1166"/>
          <w:marRight w:val="0"/>
          <w:marTop w:val="106"/>
          <w:marBottom w:val="0"/>
          <w:divBdr>
            <w:top w:val="none" w:sz="0" w:space="0" w:color="auto"/>
            <w:left w:val="none" w:sz="0" w:space="0" w:color="auto"/>
            <w:bottom w:val="none" w:sz="0" w:space="0" w:color="auto"/>
            <w:right w:val="none" w:sz="0" w:space="0" w:color="auto"/>
          </w:divBdr>
        </w:div>
        <w:div w:id="1899052494">
          <w:marLeft w:val="1166"/>
          <w:marRight w:val="0"/>
          <w:marTop w:val="106"/>
          <w:marBottom w:val="0"/>
          <w:divBdr>
            <w:top w:val="none" w:sz="0" w:space="0" w:color="auto"/>
            <w:left w:val="none" w:sz="0" w:space="0" w:color="auto"/>
            <w:bottom w:val="none" w:sz="0" w:space="0" w:color="auto"/>
            <w:right w:val="none" w:sz="0" w:space="0" w:color="auto"/>
          </w:divBdr>
        </w:div>
        <w:div w:id="1936744778">
          <w:marLeft w:val="1166"/>
          <w:marRight w:val="0"/>
          <w:marTop w:val="106"/>
          <w:marBottom w:val="0"/>
          <w:divBdr>
            <w:top w:val="none" w:sz="0" w:space="0" w:color="auto"/>
            <w:left w:val="none" w:sz="0" w:space="0" w:color="auto"/>
            <w:bottom w:val="none" w:sz="0" w:space="0" w:color="auto"/>
            <w:right w:val="none" w:sz="0" w:space="0" w:color="auto"/>
          </w:divBdr>
        </w:div>
        <w:div w:id="1793865936">
          <w:marLeft w:val="547"/>
          <w:marRight w:val="0"/>
          <w:marTop w:val="120"/>
          <w:marBottom w:val="0"/>
          <w:divBdr>
            <w:top w:val="none" w:sz="0" w:space="0" w:color="auto"/>
            <w:left w:val="none" w:sz="0" w:space="0" w:color="auto"/>
            <w:bottom w:val="none" w:sz="0" w:space="0" w:color="auto"/>
            <w:right w:val="none" w:sz="0" w:space="0" w:color="auto"/>
          </w:divBdr>
        </w:div>
      </w:divsChild>
    </w:div>
    <w:div w:id="491675879">
      <w:bodyDiv w:val="1"/>
      <w:marLeft w:val="0"/>
      <w:marRight w:val="0"/>
      <w:marTop w:val="0"/>
      <w:marBottom w:val="0"/>
      <w:divBdr>
        <w:top w:val="none" w:sz="0" w:space="0" w:color="auto"/>
        <w:left w:val="none" w:sz="0" w:space="0" w:color="auto"/>
        <w:bottom w:val="none" w:sz="0" w:space="0" w:color="auto"/>
        <w:right w:val="none" w:sz="0" w:space="0" w:color="auto"/>
      </w:divBdr>
      <w:divsChild>
        <w:div w:id="619186472">
          <w:marLeft w:val="547"/>
          <w:marRight w:val="0"/>
          <w:marTop w:val="130"/>
          <w:marBottom w:val="0"/>
          <w:divBdr>
            <w:top w:val="none" w:sz="0" w:space="0" w:color="auto"/>
            <w:left w:val="none" w:sz="0" w:space="0" w:color="auto"/>
            <w:bottom w:val="none" w:sz="0" w:space="0" w:color="auto"/>
            <w:right w:val="none" w:sz="0" w:space="0" w:color="auto"/>
          </w:divBdr>
        </w:div>
        <w:div w:id="181093263">
          <w:marLeft w:val="1166"/>
          <w:marRight w:val="0"/>
          <w:marTop w:val="115"/>
          <w:marBottom w:val="0"/>
          <w:divBdr>
            <w:top w:val="none" w:sz="0" w:space="0" w:color="auto"/>
            <w:left w:val="none" w:sz="0" w:space="0" w:color="auto"/>
            <w:bottom w:val="none" w:sz="0" w:space="0" w:color="auto"/>
            <w:right w:val="none" w:sz="0" w:space="0" w:color="auto"/>
          </w:divBdr>
        </w:div>
        <w:div w:id="923955984">
          <w:marLeft w:val="1166"/>
          <w:marRight w:val="0"/>
          <w:marTop w:val="115"/>
          <w:marBottom w:val="0"/>
          <w:divBdr>
            <w:top w:val="none" w:sz="0" w:space="0" w:color="auto"/>
            <w:left w:val="none" w:sz="0" w:space="0" w:color="auto"/>
            <w:bottom w:val="none" w:sz="0" w:space="0" w:color="auto"/>
            <w:right w:val="none" w:sz="0" w:space="0" w:color="auto"/>
          </w:divBdr>
        </w:div>
        <w:div w:id="1289166246">
          <w:marLeft w:val="1800"/>
          <w:marRight w:val="0"/>
          <w:marTop w:val="96"/>
          <w:marBottom w:val="0"/>
          <w:divBdr>
            <w:top w:val="none" w:sz="0" w:space="0" w:color="auto"/>
            <w:left w:val="none" w:sz="0" w:space="0" w:color="auto"/>
            <w:bottom w:val="none" w:sz="0" w:space="0" w:color="auto"/>
            <w:right w:val="none" w:sz="0" w:space="0" w:color="auto"/>
          </w:divBdr>
        </w:div>
        <w:div w:id="1572306917">
          <w:marLeft w:val="1166"/>
          <w:marRight w:val="0"/>
          <w:marTop w:val="115"/>
          <w:marBottom w:val="0"/>
          <w:divBdr>
            <w:top w:val="none" w:sz="0" w:space="0" w:color="auto"/>
            <w:left w:val="none" w:sz="0" w:space="0" w:color="auto"/>
            <w:bottom w:val="none" w:sz="0" w:space="0" w:color="auto"/>
            <w:right w:val="none" w:sz="0" w:space="0" w:color="auto"/>
          </w:divBdr>
        </w:div>
        <w:div w:id="120542133">
          <w:marLeft w:val="1800"/>
          <w:marRight w:val="0"/>
          <w:marTop w:val="96"/>
          <w:marBottom w:val="0"/>
          <w:divBdr>
            <w:top w:val="none" w:sz="0" w:space="0" w:color="auto"/>
            <w:left w:val="none" w:sz="0" w:space="0" w:color="auto"/>
            <w:bottom w:val="none" w:sz="0" w:space="0" w:color="auto"/>
            <w:right w:val="none" w:sz="0" w:space="0" w:color="auto"/>
          </w:divBdr>
        </w:div>
        <w:div w:id="2099909960">
          <w:marLeft w:val="1800"/>
          <w:marRight w:val="0"/>
          <w:marTop w:val="96"/>
          <w:marBottom w:val="0"/>
          <w:divBdr>
            <w:top w:val="none" w:sz="0" w:space="0" w:color="auto"/>
            <w:left w:val="none" w:sz="0" w:space="0" w:color="auto"/>
            <w:bottom w:val="none" w:sz="0" w:space="0" w:color="auto"/>
            <w:right w:val="none" w:sz="0" w:space="0" w:color="auto"/>
          </w:divBdr>
        </w:div>
        <w:div w:id="1881353834">
          <w:marLeft w:val="1800"/>
          <w:marRight w:val="0"/>
          <w:marTop w:val="96"/>
          <w:marBottom w:val="0"/>
          <w:divBdr>
            <w:top w:val="none" w:sz="0" w:space="0" w:color="auto"/>
            <w:left w:val="none" w:sz="0" w:space="0" w:color="auto"/>
            <w:bottom w:val="none" w:sz="0" w:space="0" w:color="auto"/>
            <w:right w:val="none" w:sz="0" w:space="0" w:color="auto"/>
          </w:divBdr>
        </w:div>
      </w:divsChild>
    </w:div>
    <w:div w:id="588778435">
      <w:bodyDiv w:val="1"/>
      <w:marLeft w:val="0"/>
      <w:marRight w:val="0"/>
      <w:marTop w:val="0"/>
      <w:marBottom w:val="0"/>
      <w:divBdr>
        <w:top w:val="none" w:sz="0" w:space="0" w:color="auto"/>
        <w:left w:val="none" w:sz="0" w:space="0" w:color="auto"/>
        <w:bottom w:val="none" w:sz="0" w:space="0" w:color="auto"/>
        <w:right w:val="none" w:sz="0" w:space="0" w:color="auto"/>
      </w:divBdr>
      <w:divsChild>
        <w:div w:id="1669942939">
          <w:marLeft w:val="1166"/>
          <w:marRight w:val="0"/>
          <w:marTop w:val="106"/>
          <w:marBottom w:val="0"/>
          <w:divBdr>
            <w:top w:val="none" w:sz="0" w:space="0" w:color="auto"/>
            <w:left w:val="none" w:sz="0" w:space="0" w:color="auto"/>
            <w:bottom w:val="none" w:sz="0" w:space="0" w:color="auto"/>
            <w:right w:val="none" w:sz="0" w:space="0" w:color="auto"/>
          </w:divBdr>
        </w:div>
      </w:divsChild>
    </w:div>
    <w:div w:id="623268827">
      <w:bodyDiv w:val="1"/>
      <w:marLeft w:val="0"/>
      <w:marRight w:val="0"/>
      <w:marTop w:val="0"/>
      <w:marBottom w:val="0"/>
      <w:divBdr>
        <w:top w:val="none" w:sz="0" w:space="0" w:color="auto"/>
        <w:left w:val="none" w:sz="0" w:space="0" w:color="auto"/>
        <w:bottom w:val="none" w:sz="0" w:space="0" w:color="auto"/>
        <w:right w:val="none" w:sz="0" w:space="0" w:color="auto"/>
      </w:divBdr>
      <w:divsChild>
        <w:div w:id="656421353">
          <w:marLeft w:val="547"/>
          <w:marRight w:val="0"/>
          <w:marTop w:val="130"/>
          <w:marBottom w:val="0"/>
          <w:divBdr>
            <w:top w:val="none" w:sz="0" w:space="0" w:color="auto"/>
            <w:left w:val="none" w:sz="0" w:space="0" w:color="auto"/>
            <w:bottom w:val="none" w:sz="0" w:space="0" w:color="auto"/>
            <w:right w:val="none" w:sz="0" w:space="0" w:color="auto"/>
          </w:divBdr>
        </w:div>
        <w:div w:id="1614481803">
          <w:marLeft w:val="1166"/>
          <w:marRight w:val="0"/>
          <w:marTop w:val="115"/>
          <w:marBottom w:val="0"/>
          <w:divBdr>
            <w:top w:val="none" w:sz="0" w:space="0" w:color="auto"/>
            <w:left w:val="none" w:sz="0" w:space="0" w:color="auto"/>
            <w:bottom w:val="none" w:sz="0" w:space="0" w:color="auto"/>
            <w:right w:val="none" w:sz="0" w:space="0" w:color="auto"/>
          </w:divBdr>
        </w:div>
        <w:div w:id="663166356">
          <w:marLeft w:val="1166"/>
          <w:marRight w:val="0"/>
          <w:marTop w:val="115"/>
          <w:marBottom w:val="0"/>
          <w:divBdr>
            <w:top w:val="none" w:sz="0" w:space="0" w:color="auto"/>
            <w:left w:val="none" w:sz="0" w:space="0" w:color="auto"/>
            <w:bottom w:val="none" w:sz="0" w:space="0" w:color="auto"/>
            <w:right w:val="none" w:sz="0" w:space="0" w:color="auto"/>
          </w:divBdr>
        </w:div>
        <w:div w:id="190069539">
          <w:marLeft w:val="547"/>
          <w:marRight w:val="0"/>
          <w:marTop w:val="130"/>
          <w:marBottom w:val="0"/>
          <w:divBdr>
            <w:top w:val="none" w:sz="0" w:space="0" w:color="auto"/>
            <w:left w:val="none" w:sz="0" w:space="0" w:color="auto"/>
            <w:bottom w:val="none" w:sz="0" w:space="0" w:color="auto"/>
            <w:right w:val="none" w:sz="0" w:space="0" w:color="auto"/>
          </w:divBdr>
        </w:div>
        <w:div w:id="1073815294">
          <w:marLeft w:val="1166"/>
          <w:marRight w:val="0"/>
          <w:marTop w:val="115"/>
          <w:marBottom w:val="0"/>
          <w:divBdr>
            <w:top w:val="none" w:sz="0" w:space="0" w:color="auto"/>
            <w:left w:val="none" w:sz="0" w:space="0" w:color="auto"/>
            <w:bottom w:val="none" w:sz="0" w:space="0" w:color="auto"/>
            <w:right w:val="none" w:sz="0" w:space="0" w:color="auto"/>
          </w:divBdr>
        </w:div>
        <w:div w:id="2113669602">
          <w:marLeft w:val="1166"/>
          <w:marRight w:val="0"/>
          <w:marTop w:val="115"/>
          <w:marBottom w:val="0"/>
          <w:divBdr>
            <w:top w:val="none" w:sz="0" w:space="0" w:color="auto"/>
            <w:left w:val="none" w:sz="0" w:space="0" w:color="auto"/>
            <w:bottom w:val="none" w:sz="0" w:space="0" w:color="auto"/>
            <w:right w:val="none" w:sz="0" w:space="0" w:color="auto"/>
          </w:divBdr>
        </w:div>
      </w:divsChild>
    </w:div>
    <w:div w:id="745415850">
      <w:bodyDiv w:val="1"/>
      <w:marLeft w:val="0"/>
      <w:marRight w:val="0"/>
      <w:marTop w:val="0"/>
      <w:marBottom w:val="0"/>
      <w:divBdr>
        <w:top w:val="none" w:sz="0" w:space="0" w:color="auto"/>
        <w:left w:val="none" w:sz="0" w:space="0" w:color="auto"/>
        <w:bottom w:val="none" w:sz="0" w:space="0" w:color="auto"/>
        <w:right w:val="none" w:sz="0" w:space="0" w:color="auto"/>
      </w:divBdr>
      <w:divsChild>
        <w:div w:id="975912202">
          <w:marLeft w:val="547"/>
          <w:marRight w:val="0"/>
          <w:marTop w:val="144"/>
          <w:marBottom w:val="0"/>
          <w:divBdr>
            <w:top w:val="none" w:sz="0" w:space="0" w:color="auto"/>
            <w:left w:val="none" w:sz="0" w:space="0" w:color="auto"/>
            <w:bottom w:val="none" w:sz="0" w:space="0" w:color="auto"/>
            <w:right w:val="none" w:sz="0" w:space="0" w:color="auto"/>
          </w:divBdr>
        </w:div>
        <w:div w:id="1647582793">
          <w:marLeft w:val="1166"/>
          <w:marRight w:val="0"/>
          <w:marTop w:val="144"/>
          <w:marBottom w:val="0"/>
          <w:divBdr>
            <w:top w:val="none" w:sz="0" w:space="0" w:color="auto"/>
            <w:left w:val="none" w:sz="0" w:space="0" w:color="auto"/>
            <w:bottom w:val="none" w:sz="0" w:space="0" w:color="auto"/>
            <w:right w:val="none" w:sz="0" w:space="0" w:color="auto"/>
          </w:divBdr>
        </w:div>
        <w:div w:id="1245065340">
          <w:marLeft w:val="547"/>
          <w:marRight w:val="0"/>
          <w:marTop w:val="144"/>
          <w:marBottom w:val="0"/>
          <w:divBdr>
            <w:top w:val="none" w:sz="0" w:space="0" w:color="auto"/>
            <w:left w:val="none" w:sz="0" w:space="0" w:color="auto"/>
            <w:bottom w:val="none" w:sz="0" w:space="0" w:color="auto"/>
            <w:right w:val="none" w:sz="0" w:space="0" w:color="auto"/>
          </w:divBdr>
        </w:div>
        <w:div w:id="152794298">
          <w:marLeft w:val="547"/>
          <w:marRight w:val="0"/>
          <w:marTop w:val="144"/>
          <w:marBottom w:val="0"/>
          <w:divBdr>
            <w:top w:val="none" w:sz="0" w:space="0" w:color="auto"/>
            <w:left w:val="none" w:sz="0" w:space="0" w:color="auto"/>
            <w:bottom w:val="none" w:sz="0" w:space="0" w:color="auto"/>
            <w:right w:val="none" w:sz="0" w:space="0" w:color="auto"/>
          </w:divBdr>
        </w:div>
        <w:div w:id="1084566181">
          <w:marLeft w:val="547"/>
          <w:marRight w:val="0"/>
          <w:marTop w:val="144"/>
          <w:marBottom w:val="0"/>
          <w:divBdr>
            <w:top w:val="none" w:sz="0" w:space="0" w:color="auto"/>
            <w:left w:val="none" w:sz="0" w:space="0" w:color="auto"/>
            <w:bottom w:val="none" w:sz="0" w:space="0" w:color="auto"/>
            <w:right w:val="none" w:sz="0" w:space="0" w:color="auto"/>
          </w:divBdr>
        </w:div>
        <w:div w:id="90442243">
          <w:marLeft w:val="547"/>
          <w:marRight w:val="0"/>
          <w:marTop w:val="149"/>
          <w:marBottom w:val="0"/>
          <w:divBdr>
            <w:top w:val="none" w:sz="0" w:space="0" w:color="auto"/>
            <w:left w:val="none" w:sz="0" w:space="0" w:color="auto"/>
            <w:bottom w:val="none" w:sz="0" w:space="0" w:color="auto"/>
            <w:right w:val="none" w:sz="0" w:space="0" w:color="auto"/>
          </w:divBdr>
        </w:div>
      </w:divsChild>
    </w:div>
    <w:div w:id="851724263">
      <w:bodyDiv w:val="1"/>
      <w:marLeft w:val="0"/>
      <w:marRight w:val="0"/>
      <w:marTop w:val="0"/>
      <w:marBottom w:val="0"/>
      <w:divBdr>
        <w:top w:val="none" w:sz="0" w:space="0" w:color="auto"/>
        <w:left w:val="none" w:sz="0" w:space="0" w:color="auto"/>
        <w:bottom w:val="none" w:sz="0" w:space="0" w:color="auto"/>
        <w:right w:val="none" w:sz="0" w:space="0" w:color="auto"/>
      </w:divBdr>
    </w:div>
    <w:div w:id="1012410704">
      <w:bodyDiv w:val="1"/>
      <w:marLeft w:val="0"/>
      <w:marRight w:val="0"/>
      <w:marTop w:val="0"/>
      <w:marBottom w:val="0"/>
      <w:divBdr>
        <w:top w:val="none" w:sz="0" w:space="0" w:color="auto"/>
        <w:left w:val="none" w:sz="0" w:space="0" w:color="auto"/>
        <w:bottom w:val="none" w:sz="0" w:space="0" w:color="auto"/>
        <w:right w:val="none" w:sz="0" w:space="0" w:color="auto"/>
      </w:divBdr>
      <w:divsChild>
        <w:div w:id="728652918">
          <w:marLeft w:val="1166"/>
          <w:marRight w:val="0"/>
          <w:marTop w:val="115"/>
          <w:marBottom w:val="0"/>
          <w:divBdr>
            <w:top w:val="none" w:sz="0" w:space="0" w:color="auto"/>
            <w:left w:val="none" w:sz="0" w:space="0" w:color="auto"/>
            <w:bottom w:val="none" w:sz="0" w:space="0" w:color="auto"/>
            <w:right w:val="none" w:sz="0" w:space="0" w:color="auto"/>
          </w:divBdr>
        </w:div>
      </w:divsChild>
    </w:div>
    <w:div w:id="1084381964">
      <w:bodyDiv w:val="1"/>
      <w:marLeft w:val="0"/>
      <w:marRight w:val="0"/>
      <w:marTop w:val="0"/>
      <w:marBottom w:val="0"/>
      <w:divBdr>
        <w:top w:val="none" w:sz="0" w:space="0" w:color="auto"/>
        <w:left w:val="none" w:sz="0" w:space="0" w:color="auto"/>
        <w:bottom w:val="none" w:sz="0" w:space="0" w:color="auto"/>
        <w:right w:val="none" w:sz="0" w:space="0" w:color="auto"/>
      </w:divBdr>
      <w:divsChild>
        <w:div w:id="1029526770">
          <w:marLeft w:val="547"/>
          <w:marRight w:val="0"/>
          <w:marTop w:val="144"/>
          <w:marBottom w:val="0"/>
          <w:divBdr>
            <w:top w:val="none" w:sz="0" w:space="0" w:color="auto"/>
            <w:left w:val="none" w:sz="0" w:space="0" w:color="auto"/>
            <w:bottom w:val="none" w:sz="0" w:space="0" w:color="auto"/>
            <w:right w:val="none" w:sz="0" w:space="0" w:color="auto"/>
          </w:divBdr>
        </w:div>
        <w:div w:id="819687596">
          <w:marLeft w:val="1166"/>
          <w:marRight w:val="0"/>
          <w:marTop w:val="125"/>
          <w:marBottom w:val="0"/>
          <w:divBdr>
            <w:top w:val="none" w:sz="0" w:space="0" w:color="auto"/>
            <w:left w:val="none" w:sz="0" w:space="0" w:color="auto"/>
            <w:bottom w:val="none" w:sz="0" w:space="0" w:color="auto"/>
            <w:right w:val="none" w:sz="0" w:space="0" w:color="auto"/>
          </w:divBdr>
        </w:div>
        <w:div w:id="929891257">
          <w:marLeft w:val="1800"/>
          <w:marRight w:val="0"/>
          <w:marTop w:val="106"/>
          <w:marBottom w:val="0"/>
          <w:divBdr>
            <w:top w:val="none" w:sz="0" w:space="0" w:color="auto"/>
            <w:left w:val="none" w:sz="0" w:space="0" w:color="auto"/>
            <w:bottom w:val="none" w:sz="0" w:space="0" w:color="auto"/>
            <w:right w:val="none" w:sz="0" w:space="0" w:color="auto"/>
          </w:divBdr>
        </w:div>
        <w:div w:id="124390931">
          <w:marLeft w:val="1800"/>
          <w:marRight w:val="0"/>
          <w:marTop w:val="106"/>
          <w:marBottom w:val="0"/>
          <w:divBdr>
            <w:top w:val="none" w:sz="0" w:space="0" w:color="auto"/>
            <w:left w:val="none" w:sz="0" w:space="0" w:color="auto"/>
            <w:bottom w:val="none" w:sz="0" w:space="0" w:color="auto"/>
            <w:right w:val="none" w:sz="0" w:space="0" w:color="auto"/>
          </w:divBdr>
        </w:div>
        <w:div w:id="1926497182">
          <w:marLeft w:val="1166"/>
          <w:marRight w:val="0"/>
          <w:marTop w:val="125"/>
          <w:marBottom w:val="0"/>
          <w:divBdr>
            <w:top w:val="none" w:sz="0" w:space="0" w:color="auto"/>
            <w:left w:val="none" w:sz="0" w:space="0" w:color="auto"/>
            <w:bottom w:val="none" w:sz="0" w:space="0" w:color="auto"/>
            <w:right w:val="none" w:sz="0" w:space="0" w:color="auto"/>
          </w:divBdr>
        </w:div>
        <w:div w:id="1546988871">
          <w:marLeft w:val="1800"/>
          <w:marRight w:val="0"/>
          <w:marTop w:val="106"/>
          <w:marBottom w:val="0"/>
          <w:divBdr>
            <w:top w:val="none" w:sz="0" w:space="0" w:color="auto"/>
            <w:left w:val="none" w:sz="0" w:space="0" w:color="auto"/>
            <w:bottom w:val="none" w:sz="0" w:space="0" w:color="auto"/>
            <w:right w:val="none" w:sz="0" w:space="0" w:color="auto"/>
          </w:divBdr>
        </w:div>
        <w:div w:id="713306978">
          <w:marLeft w:val="1166"/>
          <w:marRight w:val="0"/>
          <w:marTop w:val="125"/>
          <w:marBottom w:val="0"/>
          <w:divBdr>
            <w:top w:val="none" w:sz="0" w:space="0" w:color="auto"/>
            <w:left w:val="none" w:sz="0" w:space="0" w:color="auto"/>
            <w:bottom w:val="none" w:sz="0" w:space="0" w:color="auto"/>
            <w:right w:val="none" w:sz="0" w:space="0" w:color="auto"/>
          </w:divBdr>
        </w:div>
      </w:divsChild>
    </w:div>
    <w:div w:id="1121267833">
      <w:bodyDiv w:val="1"/>
      <w:marLeft w:val="0"/>
      <w:marRight w:val="0"/>
      <w:marTop w:val="0"/>
      <w:marBottom w:val="0"/>
      <w:divBdr>
        <w:top w:val="none" w:sz="0" w:space="0" w:color="auto"/>
        <w:left w:val="none" w:sz="0" w:space="0" w:color="auto"/>
        <w:bottom w:val="none" w:sz="0" w:space="0" w:color="auto"/>
        <w:right w:val="none" w:sz="0" w:space="0" w:color="auto"/>
      </w:divBdr>
      <w:divsChild>
        <w:div w:id="330106911">
          <w:marLeft w:val="547"/>
          <w:marRight w:val="0"/>
          <w:marTop w:val="154"/>
          <w:marBottom w:val="0"/>
          <w:divBdr>
            <w:top w:val="none" w:sz="0" w:space="0" w:color="auto"/>
            <w:left w:val="none" w:sz="0" w:space="0" w:color="auto"/>
            <w:bottom w:val="none" w:sz="0" w:space="0" w:color="auto"/>
            <w:right w:val="none" w:sz="0" w:space="0" w:color="auto"/>
          </w:divBdr>
        </w:div>
        <w:div w:id="1156728344">
          <w:marLeft w:val="1166"/>
          <w:marRight w:val="0"/>
          <w:marTop w:val="134"/>
          <w:marBottom w:val="0"/>
          <w:divBdr>
            <w:top w:val="none" w:sz="0" w:space="0" w:color="auto"/>
            <w:left w:val="none" w:sz="0" w:space="0" w:color="auto"/>
            <w:bottom w:val="none" w:sz="0" w:space="0" w:color="auto"/>
            <w:right w:val="none" w:sz="0" w:space="0" w:color="auto"/>
          </w:divBdr>
        </w:div>
        <w:div w:id="495849526">
          <w:marLeft w:val="1800"/>
          <w:marRight w:val="0"/>
          <w:marTop w:val="115"/>
          <w:marBottom w:val="0"/>
          <w:divBdr>
            <w:top w:val="none" w:sz="0" w:space="0" w:color="auto"/>
            <w:left w:val="none" w:sz="0" w:space="0" w:color="auto"/>
            <w:bottom w:val="none" w:sz="0" w:space="0" w:color="auto"/>
            <w:right w:val="none" w:sz="0" w:space="0" w:color="auto"/>
          </w:divBdr>
        </w:div>
        <w:div w:id="1696230882">
          <w:marLeft w:val="1166"/>
          <w:marRight w:val="0"/>
          <w:marTop w:val="134"/>
          <w:marBottom w:val="0"/>
          <w:divBdr>
            <w:top w:val="none" w:sz="0" w:space="0" w:color="auto"/>
            <w:left w:val="none" w:sz="0" w:space="0" w:color="auto"/>
            <w:bottom w:val="none" w:sz="0" w:space="0" w:color="auto"/>
            <w:right w:val="none" w:sz="0" w:space="0" w:color="auto"/>
          </w:divBdr>
        </w:div>
        <w:div w:id="909315089">
          <w:marLeft w:val="1166"/>
          <w:marRight w:val="0"/>
          <w:marTop w:val="134"/>
          <w:marBottom w:val="0"/>
          <w:divBdr>
            <w:top w:val="none" w:sz="0" w:space="0" w:color="auto"/>
            <w:left w:val="none" w:sz="0" w:space="0" w:color="auto"/>
            <w:bottom w:val="none" w:sz="0" w:space="0" w:color="auto"/>
            <w:right w:val="none" w:sz="0" w:space="0" w:color="auto"/>
          </w:divBdr>
        </w:div>
        <w:div w:id="1654675922">
          <w:marLeft w:val="1166"/>
          <w:marRight w:val="0"/>
          <w:marTop w:val="134"/>
          <w:marBottom w:val="0"/>
          <w:divBdr>
            <w:top w:val="none" w:sz="0" w:space="0" w:color="auto"/>
            <w:left w:val="none" w:sz="0" w:space="0" w:color="auto"/>
            <w:bottom w:val="none" w:sz="0" w:space="0" w:color="auto"/>
            <w:right w:val="none" w:sz="0" w:space="0" w:color="auto"/>
          </w:divBdr>
        </w:div>
        <w:div w:id="158469725">
          <w:marLeft w:val="1166"/>
          <w:marRight w:val="0"/>
          <w:marTop w:val="134"/>
          <w:marBottom w:val="0"/>
          <w:divBdr>
            <w:top w:val="none" w:sz="0" w:space="0" w:color="auto"/>
            <w:left w:val="none" w:sz="0" w:space="0" w:color="auto"/>
            <w:bottom w:val="none" w:sz="0" w:space="0" w:color="auto"/>
            <w:right w:val="none" w:sz="0" w:space="0" w:color="auto"/>
          </w:divBdr>
        </w:div>
        <w:div w:id="49378647">
          <w:marLeft w:val="1166"/>
          <w:marRight w:val="0"/>
          <w:marTop w:val="134"/>
          <w:marBottom w:val="0"/>
          <w:divBdr>
            <w:top w:val="none" w:sz="0" w:space="0" w:color="auto"/>
            <w:left w:val="none" w:sz="0" w:space="0" w:color="auto"/>
            <w:bottom w:val="none" w:sz="0" w:space="0" w:color="auto"/>
            <w:right w:val="none" w:sz="0" w:space="0" w:color="auto"/>
          </w:divBdr>
        </w:div>
      </w:divsChild>
    </w:div>
    <w:div w:id="1257056840">
      <w:bodyDiv w:val="1"/>
      <w:marLeft w:val="0"/>
      <w:marRight w:val="0"/>
      <w:marTop w:val="0"/>
      <w:marBottom w:val="0"/>
      <w:divBdr>
        <w:top w:val="none" w:sz="0" w:space="0" w:color="auto"/>
        <w:left w:val="none" w:sz="0" w:space="0" w:color="auto"/>
        <w:bottom w:val="none" w:sz="0" w:space="0" w:color="auto"/>
        <w:right w:val="none" w:sz="0" w:space="0" w:color="auto"/>
      </w:divBdr>
      <w:divsChild>
        <w:div w:id="1649281165">
          <w:marLeft w:val="547"/>
          <w:marRight w:val="0"/>
          <w:marTop w:val="130"/>
          <w:marBottom w:val="0"/>
          <w:divBdr>
            <w:top w:val="none" w:sz="0" w:space="0" w:color="auto"/>
            <w:left w:val="none" w:sz="0" w:space="0" w:color="auto"/>
            <w:bottom w:val="none" w:sz="0" w:space="0" w:color="auto"/>
            <w:right w:val="none" w:sz="0" w:space="0" w:color="auto"/>
          </w:divBdr>
        </w:div>
        <w:div w:id="553548238">
          <w:marLeft w:val="547"/>
          <w:marRight w:val="0"/>
          <w:marTop w:val="130"/>
          <w:marBottom w:val="0"/>
          <w:divBdr>
            <w:top w:val="none" w:sz="0" w:space="0" w:color="auto"/>
            <w:left w:val="none" w:sz="0" w:space="0" w:color="auto"/>
            <w:bottom w:val="none" w:sz="0" w:space="0" w:color="auto"/>
            <w:right w:val="none" w:sz="0" w:space="0" w:color="auto"/>
          </w:divBdr>
        </w:div>
        <w:div w:id="510024905">
          <w:marLeft w:val="1166"/>
          <w:marRight w:val="0"/>
          <w:marTop w:val="115"/>
          <w:marBottom w:val="0"/>
          <w:divBdr>
            <w:top w:val="none" w:sz="0" w:space="0" w:color="auto"/>
            <w:left w:val="none" w:sz="0" w:space="0" w:color="auto"/>
            <w:bottom w:val="none" w:sz="0" w:space="0" w:color="auto"/>
            <w:right w:val="none" w:sz="0" w:space="0" w:color="auto"/>
          </w:divBdr>
        </w:div>
        <w:div w:id="359635">
          <w:marLeft w:val="1166"/>
          <w:marRight w:val="0"/>
          <w:marTop w:val="115"/>
          <w:marBottom w:val="0"/>
          <w:divBdr>
            <w:top w:val="none" w:sz="0" w:space="0" w:color="auto"/>
            <w:left w:val="none" w:sz="0" w:space="0" w:color="auto"/>
            <w:bottom w:val="none" w:sz="0" w:space="0" w:color="auto"/>
            <w:right w:val="none" w:sz="0" w:space="0" w:color="auto"/>
          </w:divBdr>
        </w:div>
        <w:div w:id="1013415208">
          <w:marLeft w:val="547"/>
          <w:marRight w:val="0"/>
          <w:marTop w:val="130"/>
          <w:marBottom w:val="0"/>
          <w:divBdr>
            <w:top w:val="none" w:sz="0" w:space="0" w:color="auto"/>
            <w:left w:val="none" w:sz="0" w:space="0" w:color="auto"/>
            <w:bottom w:val="none" w:sz="0" w:space="0" w:color="auto"/>
            <w:right w:val="none" w:sz="0" w:space="0" w:color="auto"/>
          </w:divBdr>
        </w:div>
        <w:div w:id="601765802">
          <w:marLeft w:val="1166"/>
          <w:marRight w:val="0"/>
          <w:marTop w:val="115"/>
          <w:marBottom w:val="0"/>
          <w:divBdr>
            <w:top w:val="none" w:sz="0" w:space="0" w:color="auto"/>
            <w:left w:val="none" w:sz="0" w:space="0" w:color="auto"/>
            <w:bottom w:val="none" w:sz="0" w:space="0" w:color="auto"/>
            <w:right w:val="none" w:sz="0" w:space="0" w:color="auto"/>
          </w:divBdr>
        </w:div>
        <w:div w:id="250822182">
          <w:marLeft w:val="1166"/>
          <w:marRight w:val="0"/>
          <w:marTop w:val="115"/>
          <w:marBottom w:val="0"/>
          <w:divBdr>
            <w:top w:val="none" w:sz="0" w:space="0" w:color="auto"/>
            <w:left w:val="none" w:sz="0" w:space="0" w:color="auto"/>
            <w:bottom w:val="none" w:sz="0" w:space="0" w:color="auto"/>
            <w:right w:val="none" w:sz="0" w:space="0" w:color="auto"/>
          </w:divBdr>
        </w:div>
      </w:divsChild>
    </w:div>
    <w:div w:id="1327635412">
      <w:bodyDiv w:val="1"/>
      <w:marLeft w:val="0"/>
      <w:marRight w:val="0"/>
      <w:marTop w:val="0"/>
      <w:marBottom w:val="0"/>
      <w:divBdr>
        <w:top w:val="none" w:sz="0" w:space="0" w:color="auto"/>
        <w:left w:val="none" w:sz="0" w:space="0" w:color="auto"/>
        <w:bottom w:val="none" w:sz="0" w:space="0" w:color="auto"/>
        <w:right w:val="none" w:sz="0" w:space="0" w:color="auto"/>
      </w:divBdr>
      <w:divsChild>
        <w:div w:id="270207689">
          <w:marLeft w:val="1166"/>
          <w:marRight w:val="0"/>
          <w:marTop w:val="115"/>
          <w:marBottom w:val="0"/>
          <w:divBdr>
            <w:top w:val="none" w:sz="0" w:space="0" w:color="auto"/>
            <w:left w:val="none" w:sz="0" w:space="0" w:color="auto"/>
            <w:bottom w:val="none" w:sz="0" w:space="0" w:color="auto"/>
            <w:right w:val="none" w:sz="0" w:space="0" w:color="auto"/>
          </w:divBdr>
        </w:div>
      </w:divsChild>
    </w:div>
    <w:div w:id="1493791723">
      <w:bodyDiv w:val="1"/>
      <w:marLeft w:val="0"/>
      <w:marRight w:val="0"/>
      <w:marTop w:val="0"/>
      <w:marBottom w:val="0"/>
      <w:divBdr>
        <w:top w:val="none" w:sz="0" w:space="0" w:color="auto"/>
        <w:left w:val="none" w:sz="0" w:space="0" w:color="auto"/>
        <w:bottom w:val="none" w:sz="0" w:space="0" w:color="auto"/>
        <w:right w:val="none" w:sz="0" w:space="0" w:color="auto"/>
      </w:divBdr>
      <w:divsChild>
        <w:div w:id="1541555247">
          <w:marLeft w:val="547"/>
          <w:marRight w:val="0"/>
          <w:marTop w:val="91"/>
          <w:marBottom w:val="0"/>
          <w:divBdr>
            <w:top w:val="none" w:sz="0" w:space="0" w:color="auto"/>
            <w:left w:val="none" w:sz="0" w:space="0" w:color="auto"/>
            <w:bottom w:val="none" w:sz="0" w:space="0" w:color="auto"/>
            <w:right w:val="none" w:sz="0" w:space="0" w:color="auto"/>
          </w:divBdr>
        </w:div>
        <w:div w:id="1895385837">
          <w:marLeft w:val="1166"/>
          <w:marRight w:val="0"/>
          <w:marTop w:val="72"/>
          <w:marBottom w:val="0"/>
          <w:divBdr>
            <w:top w:val="none" w:sz="0" w:space="0" w:color="auto"/>
            <w:left w:val="none" w:sz="0" w:space="0" w:color="auto"/>
            <w:bottom w:val="none" w:sz="0" w:space="0" w:color="auto"/>
            <w:right w:val="none" w:sz="0" w:space="0" w:color="auto"/>
          </w:divBdr>
        </w:div>
        <w:div w:id="1619411413">
          <w:marLeft w:val="1166"/>
          <w:marRight w:val="0"/>
          <w:marTop w:val="72"/>
          <w:marBottom w:val="0"/>
          <w:divBdr>
            <w:top w:val="none" w:sz="0" w:space="0" w:color="auto"/>
            <w:left w:val="none" w:sz="0" w:space="0" w:color="auto"/>
            <w:bottom w:val="none" w:sz="0" w:space="0" w:color="auto"/>
            <w:right w:val="none" w:sz="0" w:space="0" w:color="auto"/>
          </w:divBdr>
        </w:div>
        <w:div w:id="1561942096">
          <w:marLeft w:val="1166"/>
          <w:marRight w:val="0"/>
          <w:marTop w:val="72"/>
          <w:marBottom w:val="0"/>
          <w:divBdr>
            <w:top w:val="none" w:sz="0" w:space="0" w:color="auto"/>
            <w:left w:val="none" w:sz="0" w:space="0" w:color="auto"/>
            <w:bottom w:val="none" w:sz="0" w:space="0" w:color="auto"/>
            <w:right w:val="none" w:sz="0" w:space="0" w:color="auto"/>
          </w:divBdr>
        </w:div>
        <w:div w:id="1074088894">
          <w:marLeft w:val="1166"/>
          <w:marRight w:val="0"/>
          <w:marTop w:val="72"/>
          <w:marBottom w:val="0"/>
          <w:divBdr>
            <w:top w:val="none" w:sz="0" w:space="0" w:color="auto"/>
            <w:left w:val="none" w:sz="0" w:space="0" w:color="auto"/>
            <w:bottom w:val="none" w:sz="0" w:space="0" w:color="auto"/>
            <w:right w:val="none" w:sz="0" w:space="0" w:color="auto"/>
          </w:divBdr>
        </w:div>
        <w:div w:id="1618028441">
          <w:marLeft w:val="1800"/>
          <w:marRight w:val="0"/>
          <w:marTop w:val="72"/>
          <w:marBottom w:val="0"/>
          <w:divBdr>
            <w:top w:val="none" w:sz="0" w:space="0" w:color="auto"/>
            <w:left w:val="none" w:sz="0" w:space="0" w:color="auto"/>
            <w:bottom w:val="none" w:sz="0" w:space="0" w:color="auto"/>
            <w:right w:val="none" w:sz="0" w:space="0" w:color="auto"/>
          </w:divBdr>
        </w:div>
        <w:div w:id="581455150">
          <w:marLeft w:val="1800"/>
          <w:marRight w:val="0"/>
          <w:marTop w:val="72"/>
          <w:marBottom w:val="0"/>
          <w:divBdr>
            <w:top w:val="none" w:sz="0" w:space="0" w:color="auto"/>
            <w:left w:val="none" w:sz="0" w:space="0" w:color="auto"/>
            <w:bottom w:val="none" w:sz="0" w:space="0" w:color="auto"/>
            <w:right w:val="none" w:sz="0" w:space="0" w:color="auto"/>
          </w:divBdr>
        </w:div>
        <w:div w:id="289169161">
          <w:marLeft w:val="547"/>
          <w:marRight w:val="0"/>
          <w:marTop w:val="91"/>
          <w:marBottom w:val="0"/>
          <w:divBdr>
            <w:top w:val="none" w:sz="0" w:space="0" w:color="auto"/>
            <w:left w:val="none" w:sz="0" w:space="0" w:color="auto"/>
            <w:bottom w:val="none" w:sz="0" w:space="0" w:color="auto"/>
            <w:right w:val="none" w:sz="0" w:space="0" w:color="auto"/>
          </w:divBdr>
        </w:div>
        <w:div w:id="927925874">
          <w:marLeft w:val="547"/>
          <w:marRight w:val="0"/>
          <w:marTop w:val="91"/>
          <w:marBottom w:val="0"/>
          <w:divBdr>
            <w:top w:val="none" w:sz="0" w:space="0" w:color="auto"/>
            <w:left w:val="none" w:sz="0" w:space="0" w:color="auto"/>
            <w:bottom w:val="none" w:sz="0" w:space="0" w:color="auto"/>
            <w:right w:val="none" w:sz="0" w:space="0" w:color="auto"/>
          </w:divBdr>
        </w:div>
        <w:div w:id="260186606">
          <w:marLeft w:val="1166"/>
          <w:marRight w:val="0"/>
          <w:marTop w:val="72"/>
          <w:marBottom w:val="0"/>
          <w:divBdr>
            <w:top w:val="none" w:sz="0" w:space="0" w:color="auto"/>
            <w:left w:val="none" w:sz="0" w:space="0" w:color="auto"/>
            <w:bottom w:val="none" w:sz="0" w:space="0" w:color="auto"/>
            <w:right w:val="none" w:sz="0" w:space="0" w:color="auto"/>
          </w:divBdr>
        </w:div>
        <w:div w:id="2009356637">
          <w:marLeft w:val="1800"/>
          <w:marRight w:val="0"/>
          <w:marTop w:val="62"/>
          <w:marBottom w:val="0"/>
          <w:divBdr>
            <w:top w:val="none" w:sz="0" w:space="0" w:color="auto"/>
            <w:left w:val="none" w:sz="0" w:space="0" w:color="auto"/>
            <w:bottom w:val="none" w:sz="0" w:space="0" w:color="auto"/>
            <w:right w:val="none" w:sz="0" w:space="0" w:color="auto"/>
          </w:divBdr>
        </w:div>
        <w:div w:id="1091900081">
          <w:marLeft w:val="1800"/>
          <w:marRight w:val="0"/>
          <w:marTop w:val="62"/>
          <w:marBottom w:val="0"/>
          <w:divBdr>
            <w:top w:val="none" w:sz="0" w:space="0" w:color="auto"/>
            <w:left w:val="none" w:sz="0" w:space="0" w:color="auto"/>
            <w:bottom w:val="none" w:sz="0" w:space="0" w:color="auto"/>
            <w:right w:val="none" w:sz="0" w:space="0" w:color="auto"/>
          </w:divBdr>
        </w:div>
        <w:div w:id="838273780">
          <w:marLeft w:val="1166"/>
          <w:marRight w:val="0"/>
          <w:marTop w:val="72"/>
          <w:marBottom w:val="0"/>
          <w:divBdr>
            <w:top w:val="none" w:sz="0" w:space="0" w:color="auto"/>
            <w:left w:val="none" w:sz="0" w:space="0" w:color="auto"/>
            <w:bottom w:val="none" w:sz="0" w:space="0" w:color="auto"/>
            <w:right w:val="none" w:sz="0" w:space="0" w:color="auto"/>
          </w:divBdr>
        </w:div>
        <w:div w:id="127206140">
          <w:marLeft w:val="1800"/>
          <w:marRight w:val="0"/>
          <w:marTop w:val="62"/>
          <w:marBottom w:val="0"/>
          <w:divBdr>
            <w:top w:val="none" w:sz="0" w:space="0" w:color="auto"/>
            <w:left w:val="none" w:sz="0" w:space="0" w:color="auto"/>
            <w:bottom w:val="none" w:sz="0" w:space="0" w:color="auto"/>
            <w:right w:val="none" w:sz="0" w:space="0" w:color="auto"/>
          </w:divBdr>
        </w:div>
        <w:div w:id="1105421416">
          <w:marLeft w:val="1800"/>
          <w:marRight w:val="0"/>
          <w:marTop w:val="62"/>
          <w:marBottom w:val="0"/>
          <w:divBdr>
            <w:top w:val="none" w:sz="0" w:space="0" w:color="auto"/>
            <w:left w:val="none" w:sz="0" w:space="0" w:color="auto"/>
            <w:bottom w:val="none" w:sz="0" w:space="0" w:color="auto"/>
            <w:right w:val="none" w:sz="0" w:space="0" w:color="auto"/>
          </w:divBdr>
        </w:div>
        <w:div w:id="50737121">
          <w:marLeft w:val="1800"/>
          <w:marRight w:val="0"/>
          <w:marTop w:val="62"/>
          <w:marBottom w:val="0"/>
          <w:divBdr>
            <w:top w:val="none" w:sz="0" w:space="0" w:color="auto"/>
            <w:left w:val="none" w:sz="0" w:space="0" w:color="auto"/>
            <w:bottom w:val="none" w:sz="0" w:space="0" w:color="auto"/>
            <w:right w:val="none" w:sz="0" w:space="0" w:color="auto"/>
          </w:divBdr>
        </w:div>
        <w:div w:id="362901097">
          <w:marLeft w:val="1166"/>
          <w:marRight w:val="0"/>
          <w:marTop w:val="72"/>
          <w:marBottom w:val="0"/>
          <w:divBdr>
            <w:top w:val="none" w:sz="0" w:space="0" w:color="auto"/>
            <w:left w:val="none" w:sz="0" w:space="0" w:color="auto"/>
            <w:bottom w:val="none" w:sz="0" w:space="0" w:color="auto"/>
            <w:right w:val="none" w:sz="0" w:space="0" w:color="auto"/>
          </w:divBdr>
        </w:div>
        <w:div w:id="1082601127">
          <w:marLeft w:val="1800"/>
          <w:marRight w:val="0"/>
          <w:marTop w:val="62"/>
          <w:marBottom w:val="0"/>
          <w:divBdr>
            <w:top w:val="none" w:sz="0" w:space="0" w:color="auto"/>
            <w:left w:val="none" w:sz="0" w:space="0" w:color="auto"/>
            <w:bottom w:val="none" w:sz="0" w:space="0" w:color="auto"/>
            <w:right w:val="none" w:sz="0" w:space="0" w:color="auto"/>
          </w:divBdr>
        </w:div>
        <w:div w:id="343628380">
          <w:marLeft w:val="1166"/>
          <w:marRight w:val="0"/>
          <w:marTop w:val="72"/>
          <w:marBottom w:val="0"/>
          <w:divBdr>
            <w:top w:val="none" w:sz="0" w:space="0" w:color="auto"/>
            <w:left w:val="none" w:sz="0" w:space="0" w:color="auto"/>
            <w:bottom w:val="none" w:sz="0" w:space="0" w:color="auto"/>
            <w:right w:val="none" w:sz="0" w:space="0" w:color="auto"/>
          </w:divBdr>
        </w:div>
        <w:div w:id="823007793">
          <w:marLeft w:val="1800"/>
          <w:marRight w:val="0"/>
          <w:marTop w:val="62"/>
          <w:marBottom w:val="0"/>
          <w:divBdr>
            <w:top w:val="none" w:sz="0" w:space="0" w:color="auto"/>
            <w:left w:val="none" w:sz="0" w:space="0" w:color="auto"/>
            <w:bottom w:val="none" w:sz="0" w:space="0" w:color="auto"/>
            <w:right w:val="none" w:sz="0" w:space="0" w:color="auto"/>
          </w:divBdr>
        </w:div>
      </w:divsChild>
    </w:div>
    <w:div w:id="1736510768">
      <w:bodyDiv w:val="1"/>
      <w:marLeft w:val="0"/>
      <w:marRight w:val="0"/>
      <w:marTop w:val="0"/>
      <w:marBottom w:val="0"/>
      <w:divBdr>
        <w:top w:val="none" w:sz="0" w:space="0" w:color="auto"/>
        <w:left w:val="none" w:sz="0" w:space="0" w:color="auto"/>
        <w:bottom w:val="none" w:sz="0" w:space="0" w:color="auto"/>
        <w:right w:val="none" w:sz="0" w:space="0" w:color="auto"/>
      </w:divBdr>
      <w:divsChild>
        <w:div w:id="188034556">
          <w:marLeft w:val="547"/>
          <w:marRight w:val="0"/>
          <w:marTop w:val="120"/>
          <w:marBottom w:val="0"/>
          <w:divBdr>
            <w:top w:val="none" w:sz="0" w:space="0" w:color="auto"/>
            <w:left w:val="none" w:sz="0" w:space="0" w:color="auto"/>
            <w:bottom w:val="none" w:sz="0" w:space="0" w:color="auto"/>
            <w:right w:val="none" w:sz="0" w:space="0" w:color="auto"/>
          </w:divBdr>
        </w:div>
        <w:div w:id="2109539863">
          <w:marLeft w:val="1166"/>
          <w:marRight w:val="0"/>
          <w:marTop w:val="106"/>
          <w:marBottom w:val="0"/>
          <w:divBdr>
            <w:top w:val="none" w:sz="0" w:space="0" w:color="auto"/>
            <w:left w:val="none" w:sz="0" w:space="0" w:color="auto"/>
            <w:bottom w:val="none" w:sz="0" w:space="0" w:color="auto"/>
            <w:right w:val="none" w:sz="0" w:space="0" w:color="auto"/>
          </w:divBdr>
        </w:div>
        <w:div w:id="93020140">
          <w:marLeft w:val="547"/>
          <w:marRight w:val="0"/>
          <w:marTop w:val="120"/>
          <w:marBottom w:val="0"/>
          <w:divBdr>
            <w:top w:val="none" w:sz="0" w:space="0" w:color="auto"/>
            <w:left w:val="none" w:sz="0" w:space="0" w:color="auto"/>
            <w:bottom w:val="none" w:sz="0" w:space="0" w:color="auto"/>
            <w:right w:val="none" w:sz="0" w:space="0" w:color="auto"/>
          </w:divBdr>
        </w:div>
        <w:div w:id="363404086">
          <w:marLeft w:val="1166"/>
          <w:marRight w:val="0"/>
          <w:marTop w:val="106"/>
          <w:marBottom w:val="0"/>
          <w:divBdr>
            <w:top w:val="none" w:sz="0" w:space="0" w:color="auto"/>
            <w:left w:val="none" w:sz="0" w:space="0" w:color="auto"/>
            <w:bottom w:val="none" w:sz="0" w:space="0" w:color="auto"/>
            <w:right w:val="none" w:sz="0" w:space="0" w:color="auto"/>
          </w:divBdr>
        </w:div>
        <w:div w:id="1535193391">
          <w:marLeft w:val="1166"/>
          <w:marRight w:val="0"/>
          <w:marTop w:val="106"/>
          <w:marBottom w:val="0"/>
          <w:divBdr>
            <w:top w:val="none" w:sz="0" w:space="0" w:color="auto"/>
            <w:left w:val="none" w:sz="0" w:space="0" w:color="auto"/>
            <w:bottom w:val="none" w:sz="0" w:space="0" w:color="auto"/>
            <w:right w:val="none" w:sz="0" w:space="0" w:color="auto"/>
          </w:divBdr>
        </w:div>
        <w:div w:id="970014884">
          <w:marLeft w:val="1800"/>
          <w:marRight w:val="0"/>
          <w:marTop w:val="91"/>
          <w:marBottom w:val="0"/>
          <w:divBdr>
            <w:top w:val="none" w:sz="0" w:space="0" w:color="auto"/>
            <w:left w:val="none" w:sz="0" w:space="0" w:color="auto"/>
            <w:bottom w:val="none" w:sz="0" w:space="0" w:color="auto"/>
            <w:right w:val="none" w:sz="0" w:space="0" w:color="auto"/>
          </w:divBdr>
        </w:div>
        <w:div w:id="74325293">
          <w:marLeft w:val="1800"/>
          <w:marRight w:val="0"/>
          <w:marTop w:val="91"/>
          <w:marBottom w:val="0"/>
          <w:divBdr>
            <w:top w:val="none" w:sz="0" w:space="0" w:color="auto"/>
            <w:left w:val="none" w:sz="0" w:space="0" w:color="auto"/>
            <w:bottom w:val="none" w:sz="0" w:space="0" w:color="auto"/>
            <w:right w:val="none" w:sz="0" w:space="0" w:color="auto"/>
          </w:divBdr>
        </w:div>
        <w:div w:id="603154923">
          <w:marLeft w:val="1166"/>
          <w:marRight w:val="0"/>
          <w:marTop w:val="106"/>
          <w:marBottom w:val="0"/>
          <w:divBdr>
            <w:top w:val="none" w:sz="0" w:space="0" w:color="auto"/>
            <w:left w:val="none" w:sz="0" w:space="0" w:color="auto"/>
            <w:bottom w:val="none" w:sz="0" w:space="0" w:color="auto"/>
            <w:right w:val="none" w:sz="0" w:space="0" w:color="auto"/>
          </w:divBdr>
        </w:div>
        <w:div w:id="2121291299">
          <w:marLeft w:val="1166"/>
          <w:marRight w:val="0"/>
          <w:marTop w:val="106"/>
          <w:marBottom w:val="0"/>
          <w:divBdr>
            <w:top w:val="none" w:sz="0" w:space="0" w:color="auto"/>
            <w:left w:val="none" w:sz="0" w:space="0" w:color="auto"/>
            <w:bottom w:val="none" w:sz="0" w:space="0" w:color="auto"/>
            <w:right w:val="none" w:sz="0" w:space="0" w:color="auto"/>
          </w:divBdr>
        </w:div>
        <w:div w:id="1431898239">
          <w:marLeft w:val="547"/>
          <w:marRight w:val="0"/>
          <w:marTop w:val="120"/>
          <w:marBottom w:val="0"/>
          <w:divBdr>
            <w:top w:val="none" w:sz="0" w:space="0" w:color="auto"/>
            <w:left w:val="none" w:sz="0" w:space="0" w:color="auto"/>
            <w:bottom w:val="none" w:sz="0" w:space="0" w:color="auto"/>
            <w:right w:val="none" w:sz="0" w:space="0" w:color="auto"/>
          </w:divBdr>
        </w:div>
        <w:div w:id="1630089505">
          <w:marLeft w:val="547"/>
          <w:marRight w:val="0"/>
          <w:marTop w:val="120"/>
          <w:marBottom w:val="0"/>
          <w:divBdr>
            <w:top w:val="none" w:sz="0" w:space="0" w:color="auto"/>
            <w:left w:val="none" w:sz="0" w:space="0" w:color="auto"/>
            <w:bottom w:val="none" w:sz="0" w:space="0" w:color="auto"/>
            <w:right w:val="none" w:sz="0" w:space="0" w:color="auto"/>
          </w:divBdr>
        </w:div>
      </w:divsChild>
    </w:div>
    <w:div w:id="1857570133">
      <w:bodyDiv w:val="1"/>
      <w:marLeft w:val="0"/>
      <w:marRight w:val="0"/>
      <w:marTop w:val="0"/>
      <w:marBottom w:val="0"/>
      <w:divBdr>
        <w:top w:val="none" w:sz="0" w:space="0" w:color="auto"/>
        <w:left w:val="none" w:sz="0" w:space="0" w:color="auto"/>
        <w:bottom w:val="none" w:sz="0" w:space="0" w:color="auto"/>
        <w:right w:val="none" w:sz="0" w:space="0" w:color="auto"/>
      </w:divBdr>
      <w:divsChild>
        <w:div w:id="424496006">
          <w:marLeft w:val="547"/>
          <w:marRight w:val="0"/>
          <w:marTop w:val="115"/>
          <w:marBottom w:val="0"/>
          <w:divBdr>
            <w:top w:val="none" w:sz="0" w:space="0" w:color="auto"/>
            <w:left w:val="none" w:sz="0" w:space="0" w:color="auto"/>
            <w:bottom w:val="none" w:sz="0" w:space="0" w:color="auto"/>
            <w:right w:val="none" w:sz="0" w:space="0" w:color="auto"/>
          </w:divBdr>
        </w:div>
        <w:div w:id="217087934">
          <w:marLeft w:val="1166"/>
          <w:marRight w:val="0"/>
          <w:marTop w:val="115"/>
          <w:marBottom w:val="0"/>
          <w:divBdr>
            <w:top w:val="none" w:sz="0" w:space="0" w:color="auto"/>
            <w:left w:val="none" w:sz="0" w:space="0" w:color="auto"/>
            <w:bottom w:val="none" w:sz="0" w:space="0" w:color="auto"/>
            <w:right w:val="none" w:sz="0" w:space="0" w:color="auto"/>
          </w:divBdr>
        </w:div>
        <w:div w:id="1416130870">
          <w:marLeft w:val="1166"/>
          <w:marRight w:val="0"/>
          <w:marTop w:val="115"/>
          <w:marBottom w:val="0"/>
          <w:divBdr>
            <w:top w:val="none" w:sz="0" w:space="0" w:color="auto"/>
            <w:left w:val="none" w:sz="0" w:space="0" w:color="auto"/>
            <w:bottom w:val="none" w:sz="0" w:space="0" w:color="auto"/>
            <w:right w:val="none" w:sz="0" w:space="0" w:color="auto"/>
          </w:divBdr>
        </w:div>
        <w:div w:id="546139210">
          <w:marLeft w:val="1166"/>
          <w:marRight w:val="0"/>
          <w:marTop w:val="115"/>
          <w:marBottom w:val="0"/>
          <w:divBdr>
            <w:top w:val="none" w:sz="0" w:space="0" w:color="auto"/>
            <w:left w:val="none" w:sz="0" w:space="0" w:color="auto"/>
            <w:bottom w:val="none" w:sz="0" w:space="0" w:color="auto"/>
            <w:right w:val="none" w:sz="0" w:space="0" w:color="auto"/>
          </w:divBdr>
        </w:div>
      </w:divsChild>
    </w:div>
    <w:div w:id="1881353642">
      <w:bodyDiv w:val="1"/>
      <w:marLeft w:val="0"/>
      <w:marRight w:val="0"/>
      <w:marTop w:val="0"/>
      <w:marBottom w:val="0"/>
      <w:divBdr>
        <w:top w:val="none" w:sz="0" w:space="0" w:color="auto"/>
        <w:left w:val="none" w:sz="0" w:space="0" w:color="auto"/>
        <w:bottom w:val="none" w:sz="0" w:space="0" w:color="auto"/>
        <w:right w:val="none" w:sz="0" w:space="0" w:color="auto"/>
      </w:divBdr>
      <w:divsChild>
        <w:div w:id="1377660995">
          <w:marLeft w:val="547"/>
          <w:marRight w:val="0"/>
          <w:marTop w:val="120"/>
          <w:marBottom w:val="0"/>
          <w:divBdr>
            <w:top w:val="none" w:sz="0" w:space="0" w:color="auto"/>
            <w:left w:val="none" w:sz="0" w:space="0" w:color="auto"/>
            <w:bottom w:val="none" w:sz="0" w:space="0" w:color="auto"/>
            <w:right w:val="none" w:sz="0" w:space="0" w:color="auto"/>
          </w:divBdr>
        </w:div>
        <w:div w:id="661157988">
          <w:marLeft w:val="1166"/>
          <w:marRight w:val="0"/>
          <w:marTop w:val="106"/>
          <w:marBottom w:val="0"/>
          <w:divBdr>
            <w:top w:val="none" w:sz="0" w:space="0" w:color="auto"/>
            <w:left w:val="none" w:sz="0" w:space="0" w:color="auto"/>
            <w:bottom w:val="none" w:sz="0" w:space="0" w:color="auto"/>
            <w:right w:val="none" w:sz="0" w:space="0" w:color="auto"/>
          </w:divBdr>
        </w:div>
        <w:div w:id="1993826330">
          <w:marLeft w:val="1166"/>
          <w:marRight w:val="0"/>
          <w:marTop w:val="106"/>
          <w:marBottom w:val="0"/>
          <w:divBdr>
            <w:top w:val="none" w:sz="0" w:space="0" w:color="auto"/>
            <w:left w:val="none" w:sz="0" w:space="0" w:color="auto"/>
            <w:bottom w:val="none" w:sz="0" w:space="0" w:color="auto"/>
            <w:right w:val="none" w:sz="0" w:space="0" w:color="auto"/>
          </w:divBdr>
        </w:div>
        <w:div w:id="866064190">
          <w:marLeft w:val="1166"/>
          <w:marRight w:val="0"/>
          <w:marTop w:val="106"/>
          <w:marBottom w:val="0"/>
          <w:divBdr>
            <w:top w:val="none" w:sz="0" w:space="0" w:color="auto"/>
            <w:left w:val="none" w:sz="0" w:space="0" w:color="auto"/>
            <w:bottom w:val="none" w:sz="0" w:space="0" w:color="auto"/>
            <w:right w:val="none" w:sz="0" w:space="0" w:color="auto"/>
          </w:divBdr>
        </w:div>
        <w:div w:id="917716340">
          <w:marLeft w:val="547"/>
          <w:marRight w:val="0"/>
          <w:marTop w:val="120"/>
          <w:marBottom w:val="0"/>
          <w:divBdr>
            <w:top w:val="none" w:sz="0" w:space="0" w:color="auto"/>
            <w:left w:val="none" w:sz="0" w:space="0" w:color="auto"/>
            <w:bottom w:val="none" w:sz="0" w:space="0" w:color="auto"/>
            <w:right w:val="none" w:sz="0" w:space="0" w:color="auto"/>
          </w:divBdr>
        </w:div>
        <w:div w:id="517083515">
          <w:marLeft w:val="547"/>
          <w:marRight w:val="0"/>
          <w:marTop w:val="120"/>
          <w:marBottom w:val="0"/>
          <w:divBdr>
            <w:top w:val="none" w:sz="0" w:space="0" w:color="auto"/>
            <w:left w:val="none" w:sz="0" w:space="0" w:color="auto"/>
            <w:bottom w:val="none" w:sz="0" w:space="0" w:color="auto"/>
            <w:right w:val="none" w:sz="0" w:space="0" w:color="auto"/>
          </w:divBdr>
        </w:div>
        <w:div w:id="369842921">
          <w:marLeft w:val="1166"/>
          <w:marRight w:val="0"/>
          <w:marTop w:val="106"/>
          <w:marBottom w:val="0"/>
          <w:divBdr>
            <w:top w:val="none" w:sz="0" w:space="0" w:color="auto"/>
            <w:left w:val="none" w:sz="0" w:space="0" w:color="auto"/>
            <w:bottom w:val="none" w:sz="0" w:space="0" w:color="auto"/>
            <w:right w:val="none" w:sz="0" w:space="0" w:color="auto"/>
          </w:divBdr>
        </w:div>
        <w:div w:id="64226804">
          <w:marLeft w:val="1166"/>
          <w:marRight w:val="0"/>
          <w:marTop w:val="106"/>
          <w:marBottom w:val="0"/>
          <w:divBdr>
            <w:top w:val="none" w:sz="0" w:space="0" w:color="auto"/>
            <w:left w:val="none" w:sz="0" w:space="0" w:color="auto"/>
            <w:bottom w:val="none" w:sz="0" w:space="0" w:color="auto"/>
            <w:right w:val="none" w:sz="0" w:space="0" w:color="auto"/>
          </w:divBdr>
        </w:div>
        <w:div w:id="1070007334">
          <w:marLeft w:val="1166"/>
          <w:marRight w:val="0"/>
          <w:marTop w:val="106"/>
          <w:marBottom w:val="0"/>
          <w:divBdr>
            <w:top w:val="none" w:sz="0" w:space="0" w:color="auto"/>
            <w:left w:val="none" w:sz="0" w:space="0" w:color="auto"/>
            <w:bottom w:val="none" w:sz="0" w:space="0" w:color="auto"/>
            <w:right w:val="none" w:sz="0" w:space="0" w:color="auto"/>
          </w:divBdr>
        </w:div>
        <w:div w:id="792946511">
          <w:marLeft w:val="547"/>
          <w:marRight w:val="0"/>
          <w:marTop w:val="120"/>
          <w:marBottom w:val="0"/>
          <w:divBdr>
            <w:top w:val="none" w:sz="0" w:space="0" w:color="auto"/>
            <w:left w:val="none" w:sz="0" w:space="0" w:color="auto"/>
            <w:bottom w:val="none" w:sz="0" w:space="0" w:color="auto"/>
            <w:right w:val="none" w:sz="0" w:space="0" w:color="auto"/>
          </w:divBdr>
        </w:div>
      </w:divsChild>
    </w:div>
    <w:div w:id="1895656834">
      <w:bodyDiv w:val="1"/>
      <w:marLeft w:val="0"/>
      <w:marRight w:val="0"/>
      <w:marTop w:val="0"/>
      <w:marBottom w:val="0"/>
      <w:divBdr>
        <w:top w:val="none" w:sz="0" w:space="0" w:color="auto"/>
        <w:left w:val="none" w:sz="0" w:space="0" w:color="auto"/>
        <w:bottom w:val="none" w:sz="0" w:space="0" w:color="auto"/>
        <w:right w:val="none" w:sz="0" w:space="0" w:color="auto"/>
      </w:divBdr>
      <w:divsChild>
        <w:div w:id="1210803738">
          <w:marLeft w:val="547"/>
          <w:marRight w:val="0"/>
          <w:marTop w:val="134"/>
          <w:marBottom w:val="0"/>
          <w:divBdr>
            <w:top w:val="none" w:sz="0" w:space="0" w:color="auto"/>
            <w:left w:val="none" w:sz="0" w:space="0" w:color="auto"/>
            <w:bottom w:val="none" w:sz="0" w:space="0" w:color="auto"/>
            <w:right w:val="none" w:sz="0" w:space="0" w:color="auto"/>
          </w:divBdr>
        </w:div>
        <w:div w:id="483203134">
          <w:marLeft w:val="1166"/>
          <w:marRight w:val="0"/>
          <w:marTop w:val="134"/>
          <w:marBottom w:val="0"/>
          <w:divBdr>
            <w:top w:val="none" w:sz="0" w:space="0" w:color="auto"/>
            <w:left w:val="none" w:sz="0" w:space="0" w:color="auto"/>
            <w:bottom w:val="none" w:sz="0" w:space="0" w:color="auto"/>
            <w:right w:val="none" w:sz="0" w:space="0" w:color="auto"/>
          </w:divBdr>
        </w:div>
        <w:div w:id="815032122">
          <w:marLeft w:val="547"/>
          <w:marRight w:val="0"/>
          <w:marTop w:val="134"/>
          <w:marBottom w:val="0"/>
          <w:divBdr>
            <w:top w:val="none" w:sz="0" w:space="0" w:color="auto"/>
            <w:left w:val="none" w:sz="0" w:space="0" w:color="auto"/>
            <w:bottom w:val="none" w:sz="0" w:space="0" w:color="auto"/>
            <w:right w:val="none" w:sz="0" w:space="0" w:color="auto"/>
          </w:divBdr>
        </w:div>
        <w:div w:id="1612199834">
          <w:marLeft w:val="1166"/>
          <w:marRight w:val="0"/>
          <w:marTop w:val="134"/>
          <w:marBottom w:val="0"/>
          <w:divBdr>
            <w:top w:val="none" w:sz="0" w:space="0" w:color="auto"/>
            <w:left w:val="none" w:sz="0" w:space="0" w:color="auto"/>
            <w:bottom w:val="none" w:sz="0" w:space="0" w:color="auto"/>
            <w:right w:val="none" w:sz="0" w:space="0" w:color="auto"/>
          </w:divBdr>
        </w:div>
        <w:div w:id="965895669">
          <w:marLeft w:val="1166"/>
          <w:marRight w:val="0"/>
          <w:marTop w:val="134"/>
          <w:marBottom w:val="0"/>
          <w:divBdr>
            <w:top w:val="none" w:sz="0" w:space="0" w:color="auto"/>
            <w:left w:val="none" w:sz="0" w:space="0" w:color="auto"/>
            <w:bottom w:val="none" w:sz="0" w:space="0" w:color="auto"/>
            <w:right w:val="none" w:sz="0" w:space="0" w:color="auto"/>
          </w:divBdr>
        </w:div>
        <w:div w:id="636374909">
          <w:marLeft w:val="1800"/>
          <w:marRight w:val="0"/>
          <w:marTop w:val="134"/>
          <w:marBottom w:val="0"/>
          <w:divBdr>
            <w:top w:val="none" w:sz="0" w:space="0" w:color="auto"/>
            <w:left w:val="none" w:sz="0" w:space="0" w:color="auto"/>
            <w:bottom w:val="none" w:sz="0" w:space="0" w:color="auto"/>
            <w:right w:val="none" w:sz="0" w:space="0" w:color="auto"/>
          </w:divBdr>
        </w:div>
        <w:div w:id="975258245">
          <w:marLeft w:val="1800"/>
          <w:marRight w:val="0"/>
          <w:marTop w:val="134"/>
          <w:marBottom w:val="0"/>
          <w:divBdr>
            <w:top w:val="none" w:sz="0" w:space="0" w:color="auto"/>
            <w:left w:val="none" w:sz="0" w:space="0" w:color="auto"/>
            <w:bottom w:val="none" w:sz="0" w:space="0" w:color="auto"/>
            <w:right w:val="none" w:sz="0" w:space="0" w:color="auto"/>
          </w:divBdr>
        </w:div>
      </w:divsChild>
    </w:div>
    <w:div w:id="1931769054">
      <w:bodyDiv w:val="1"/>
      <w:marLeft w:val="0"/>
      <w:marRight w:val="0"/>
      <w:marTop w:val="0"/>
      <w:marBottom w:val="0"/>
      <w:divBdr>
        <w:top w:val="none" w:sz="0" w:space="0" w:color="auto"/>
        <w:left w:val="none" w:sz="0" w:space="0" w:color="auto"/>
        <w:bottom w:val="none" w:sz="0" w:space="0" w:color="auto"/>
        <w:right w:val="none" w:sz="0" w:space="0" w:color="auto"/>
      </w:divBdr>
      <w:divsChild>
        <w:div w:id="1374421081">
          <w:marLeft w:val="547"/>
          <w:marRight w:val="0"/>
          <w:marTop w:val="134"/>
          <w:marBottom w:val="0"/>
          <w:divBdr>
            <w:top w:val="none" w:sz="0" w:space="0" w:color="auto"/>
            <w:left w:val="none" w:sz="0" w:space="0" w:color="auto"/>
            <w:bottom w:val="none" w:sz="0" w:space="0" w:color="auto"/>
            <w:right w:val="none" w:sz="0" w:space="0" w:color="auto"/>
          </w:divBdr>
        </w:div>
        <w:div w:id="1065681836">
          <w:marLeft w:val="1166"/>
          <w:marRight w:val="0"/>
          <w:marTop w:val="115"/>
          <w:marBottom w:val="0"/>
          <w:divBdr>
            <w:top w:val="none" w:sz="0" w:space="0" w:color="auto"/>
            <w:left w:val="none" w:sz="0" w:space="0" w:color="auto"/>
            <w:bottom w:val="none" w:sz="0" w:space="0" w:color="auto"/>
            <w:right w:val="none" w:sz="0" w:space="0" w:color="auto"/>
          </w:divBdr>
        </w:div>
      </w:divsChild>
    </w:div>
    <w:div w:id="208352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3851</TotalTime>
  <Pages>5</Pages>
  <Words>1692</Words>
  <Characters>9646</Characters>
  <Application>Microsoft Office Word</Application>
  <DocSecurity>0</DocSecurity>
  <Lines>80</Lines>
  <Paragraphs>22</Paragraphs>
  <ScaleCrop>false</ScaleCrop>
  <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85</cp:revision>
  <dcterms:created xsi:type="dcterms:W3CDTF">2021-01-13T07:22:00Z</dcterms:created>
  <dcterms:modified xsi:type="dcterms:W3CDTF">2022-01-10T12:03:00Z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